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5"/>
        <w:gridCol w:w="4505"/>
      </w:tblGrid>
      <w:tr w:rsidR="008B285F" w:rsidTr="001E785A">
        <w:tc>
          <w:tcPr>
            <w:tcW w:w="4505" w:type="dxa"/>
            <w:shd w:val="clear" w:color="auto" w:fill="000000" w:themeFill="text1"/>
            <w:vAlign w:val="bottom"/>
          </w:tcPr>
          <w:p w:rsidR="008B285F" w:rsidRPr="001E785A" w:rsidRDefault="008B285F" w:rsidP="008B285F">
            <w:pPr>
              <w:rPr>
                <w:rFonts w:ascii="Arial" w:hAnsi="Arial" w:cs="Arial"/>
                <w:b/>
                <w:color w:val="FFFFFF" w:themeColor="background1"/>
              </w:rPr>
            </w:pPr>
            <w:bookmarkStart w:id="0" w:name="_GoBack" w:colFirst="0" w:colLast="1"/>
            <w:r w:rsidRPr="001E785A">
              <w:rPr>
                <w:rFonts w:ascii="Arial" w:hAnsi="Arial" w:cs="Arial"/>
                <w:b/>
                <w:color w:val="FFFFFF" w:themeColor="background1"/>
              </w:rPr>
              <w:t>H1</w:t>
            </w:r>
          </w:p>
        </w:tc>
        <w:tc>
          <w:tcPr>
            <w:tcW w:w="4505" w:type="dxa"/>
            <w:shd w:val="clear" w:color="auto" w:fill="000000" w:themeFill="text1"/>
            <w:vAlign w:val="bottom"/>
          </w:tcPr>
          <w:p w:rsidR="008B285F" w:rsidRPr="001E785A" w:rsidRDefault="008B285F" w:rsidP="008B285F">
            <w:pPr>
              <w:rPr>
                <w:rFonts w:ascii="Arial" w:hAnsi="Arial" w:cs="Arial"/>
                <w:b/>
                <w:color w:val="FFFFFF" w:themeColor="background1"/>
              </w:rPr>
            </w:pPr>
          </w:p>
        </w:tc>
      </w:tr>
      <w:bookmarkEnd w:id="0"/>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analfabetisme</w:t>
            </w:r>
          </w:p>
        </w:tc>
        <w:tc>
          <w:tcPr>
            <w:tcW w:w="4505" w:type="dxa"/>
            <w:vAlign w:val="bottom"/>
          </w:tcPr>
          <w:p w:rsidR="008B285F" w:rsidRDefault="008B285F" w:rsidP="008B285F">
            <w:pPr>
              <w:rPr>
                <w:rFonts w:ascii="Arial" w:hAnsi="Arial" w:cs="Arial"/>
              </w:rPr>
            </w:pPr>
            <w:r>
              <w:rPr>
                <w:rFonts w:ascii="Arial" w:hAnsi="Arial" w:cs="Arial"/>
              </w:rPr>
              <w:t>Het percentage personen boven de 15 jaar dat niet kan lezen of schrijven.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autonomie</w:t>
            </w:r>
          </w:p>
        </w:tc>
        <w:tc>
          <w:tcPr>
            <w:tcW w:w="4505" w:type="dxa"/>
            <w:vAlign w:val="bottom"/>
          </w:tcPr>
          <w:p w:rsidR="008B285F" w:rsidRDefault="008B285F" w:rsidP="008B285F">
            <w:pPr>
              <w:rPr>
                <w:rFonts w:ascii="Arial" w:hAnsi="Arial" w:cs="Arial"/>
              </w:rPr>
            </w:pPr>
            <w:r>
              <w:rPr>
                <w:rFonts w:ascii="Arial" w:hAnsi="Arial" w:cs="Arial"/>
              </w:rPr>
              <w:t>een zekere mate van zelfbestuur</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bodemdegradatie</w:t>
            </w:r>
          </w:p>
        </w:tc>
        <w:tc>
          <w:tcPr>
            <w:tcW w:w="4505" w:type="dxa"/>
            <w:vAlign w:val="bottom"/>
          </w:tcPr>
          <w:p w:rsidR="008B285F" w:rsidRDefault="008B285F" w:rsidP="008B285F">
            <w:pPr>
              <w:rPr>
                <w:rFonts w:ascii="Arial" w:hAnsi="Arial" w:cs="Arial"/>
              </w:rPr>
            </w:pPr>
            <w:r>
              <w:rPr>
                <w:rFonts w:ascii="Arial" w:hAnsi="Arial" w:cs="Arial"/>
              </w:rPr>
              <w:t>situatue waarin de kwalitieit / draagkracht van de bodem vermindert</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complementariteit</w:t>
            </w:r>
          </w:p>
        </w:tc>
        <w:tc>
          <w:tcPr>
            <w:tcW w:w="4505" w:type="dxa"/>
            <w:vAlign w:val="bottom"/>
          </w:tcPr>
          <w:p w:rsidR="008B285F" w:rsidRDefault="008B285F" w:rsidP="008B285F">
            <w:pPr>
              <w:rPr>
                <w:rFonts w:ascii="Arial" w:hAnsi="Arial" w:cs="Arial"/>
              </w:rPr>
            </w:pPr>
            <w:r>
              <w:rPr>
                <w:rFonts w:ascii="Arial" w:hAnsi="Arial" w:cs="Arial"/>
              </w:rPr>
              <w:t>reden voor handel vanuit een sitatie waarin twee regio's elkaar aanvullen met betrekking tot een bepaalde hulpbron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directe buitenlandse investeringen</w:t>
            </w:r>
          </w:p>
        </w:tc>
        <w:tc>
          <w:tcPr>
            <w:tcW w:w="4505" w:type="dxa"/>
            <w:vAlign w:val="bottom"/>
          </w:tcPr>
          <w:p w:rsidR="008B285F" w:rsidRDefault="008B285F" w:rsidP="008B285F">
            <w:pPr>
              <w:rPr>
                <w:rFonts w:ascii="Arial" w:hAnsi="Arial" w:cs="Arial"/>
              </w:rPr>
            </w:pPr>
            <w:r>
              <w:rPr>
                <w:rFonts w:ascii="Arial" w:hAnsi="Arial" w:cs="Arial"/>
              </w:rPr>
              <w:t>directe investering in de productie in een nder land door daar een bedrijf te vestigen of een plaatselijk bedrijf over te nemen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diversificatie</w:t>
            </w:r>
          </w:p>
        </w:tc>
        <w:tc>
          <w:tcPr>
            <w:tcW w:w="4505" w:type="dxa"/>
            <w:vAlign w:val="bottom"/>
          </w:tcPr>
          <w:p w:rsidR="008B285F" w:rsidRDefault="008B285F" w:rsidP="008B285F">
            <w:pPr>
              <w:rPr>
                <w:rFonts w:ascii="Arial" w:hAnsi="Arial" w:cs="Arial"/>
              </w:rPr>
            </w:pPr>
            <w:r>
              <w:rPr>
                <w:rFonts w:ascii="Arial" w:hAnsi="Arial" w:cs="Arial"/>
              </w:rPr>
              <w:t>in de landbouw: je toeleggen op het telen van meerdere soorten gewassen om risici te verspreiden</w:t>
            </w:r>
          </w:p>
        </w:tc>
      </w:tr>
      <w:tr w:rsidR="008B285F" w:rsidRPr="001E785A"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groene revolutie</w:t>
            </w:r>
          </w:p>
        </w:tc>
        <w:tc>
          <w:tcPr>
            <w:tcW w:w="4505" w:type="dxa"/>
            <w:vAlign w:val="bottom"/>
          </w:tcPr>
          <w:p w:rsidR="008B285F" w:rsidRPr="001E785A" w:rsidRDefault="008B285F" w:rsidP="008B285F">
            <w:pPr>
              <w:rPr>
                <w:rFonts w:ascii="Arial" w:hAnsi="Arial" w:cs="Arial"/>
                <w:lang w:val="nl-NL"/>
              </w:rPr>
            </w:pPr>
            <w:r w:rsidRPr="001E785A">
              <w:rPr>
                <w:rFonts w:ascii="Arial" w:hAnsi="Arial" w:cs="Arial"/>
                <w:lang w:val="nl-NL"/>
              </w:rPr>
              <w:t>de sterke stijging van de landbouwproductie in ontwikkelingslanden als gevolg van de toepassing van nieuwe graanvariëteiten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handelsbalans</w:t>
            </w:r>
          </w:p>
        </w:tc>
        <w:tc>
          <w:tcPr>
            <w:tcW w:w="4505" w:type="dxa"/>
            <w:vAlign w:val="bottom"/>
          </w:tcPr>
          <w:p w:rsidR="008B285F" w:rsidRDefault="008B285F" w:rsidP="008B285F">
            <w:pPr>
              <w:rPr>
                <w:rFonts w:ascii="Arial" w:hAnsi="Arial" w:cs="Arial"/>
              </w:rPr>
            </w:pPr>
            <w:r>
              <w:rPr>
                <w:rFonts w:ascii="Arial" w:hAnsi="Arial" w:cs="Arial"/>
              </w:rPr>
              <w:t>een belangrijk onderdeel van de betalingsbalans van een land. Aan de ontvangstenkant staat de geldwaarde van de export van een land over een bepaalde periode. Aan de uitgavenkant staat de geldwaarde van de import. De handelsbalans vormt meestal het grootste gedeelte van de betalingsbalans.</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informele sector</w:t>
            </w:r>
          </w:p>
        </w:tc>
        <w:tc>
          <w:tcPr>
            <w:tcW w:w="4505" w:type="dxa"/>
            <w:vAlign w:val="bottom"/>
          </w:tcPr>
          <w:p w:rsidR="008B285F" w:rsidRDefault="008B285F" w:rsidP="008B285F">
            <w:pPr>
              <w:rPr>
                <w:rFonts w:ascii="Arial" w:hAnsi="Arial" w:cs="Arial"/>
              </w:rPr>
            </w:pPr>
            <w:r>
              <w:rPr>
                <w:rFonts w:ascii="Arial" w:hAnsi="Arial" w:cs="Arial"/>
              </w:rPr>
              <w:t>onderdeel van de economie waarin activiteiten plaatsvinden die niet officieel geregistreerd staan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infrastructuur</w:t>
            </w:r>
          </w:p>
        </w:tc>
        <w:tc>
          <w:tcPr>
            <w:tcW w:w="4505" w:type="dxa"/>
            <w:vAlign w:val="bottom"/>
          </w:tcPr>
          <w:p w:rsidR="008B285F" w:rsidRDefault="008B285F" w:rsidP="008B285F">
            <w:pPr>
              <w:rPr>
                <w:rFonts w:ascii="Arial" w:hAnsi="Arial" w:cs="Arial"/>
              </w:rPr>
            </w:pPr>
            <w:r>
              <w:rPr>
                <w:rFonts w:ascii="Arial" w:hAnsi="Arial" w:cs="Arial"/>
              </w:rPr>
              <w:t>alle onroerende voorzieningen die vervoer en communicatie mogelijk maken, zoals wegen, vliegvelden, havens, kabelnetwerken, riolering.</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invoertarieven</w:t>
            </w:r>
          </w:p>
        </w:tc>
        <w:tc>
          <w:tcPr>
            <w:tcW w:w="4505" w:type="dxa"/>
            <w:vAlign w:val="bottom"/>
          </w:tcPr>
          <w:p w:rsidR="008B285F" w:rsidRDefault="008B285F" w:rsidP="008B285F">
            <w:pPr>
              <w:rPr>
                <w:rFonts w:ascii="Arial" w:hAnsi="Arial" w:cs="Arial"/>
              </w:rPr>
            </w:pPr>
            <w:r>
              <w:rPr>
                <w:rFonts w:ascii="Arial" w:hAnsi="Arial" w:cs="Arial"/>
              </w:rPr>
              <w:t>financiële heffingen die door een land worden gelegd op de prijs van een goed dat of een dienst die wordt ingevoerd.</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kwalitatieve honger</w:t>
            </w:r>
          </w:p>
        </w:tc>
        <w:tc>
          <w:tcPr>
            <w:tcW w:w="4505" w:type="dxa"/>
            <w:vAlign w:val="bottom"/>
          </w:tcPr>
          <w:p w:rsidR="008B285F" w:rsidRDefault="008B285F" w:rsidP="008B285F">
            <w:pPr>
              <w:rPr>
                <w:rFonts w:ascii="Arial" w:hAnsi="Arial" w:cs="Arial"/>
              </w:rPr>
            </w:pPr>
            <w:r>
              <w:rPr>
                <w:rFonts w:ascii="Arial" w:hAnsi="Arial" w:cs="Arial"/>
              </w:rPr>
              <w:t>een verminderde lichamelijke conditie die optreedt vanwege een eenzijdige samenstelling van het voedsel</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kwantitatieve honger</w:t>
            </w:r>
          </w:p>
        </w:tc>
        <w:tc>
          <w:tcPr>
            <w:tcW w:w="4505" w:type="dxa"/>
            <w:vAlign w:val="bottom"/>
          </w:tcPr>
          <w:p w:rsidR="008B285F" w:rsidRDefault="008B285F" w:rsidP="008B285F">
            <w:pPr>
              <w:rPr>
                <w:rFonts w:ascii="Arial" w:hAnsi="Arial" w:cs="Arial"/>
              </w:rPr>
            </w:pPr>
            <w:r>
              <w:rPr>
                <w:rFonts w:ascii="Arial" w:hAnsi="Arial" w:cs="Arial"/>
              </w:rPr>
              <w:t>een verminderde lichamelijke conditie die optreedt vanwege een langdurig tekort aan energiebronnen (kcal of kJ)</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nuttige neerslag</w:t>
            </w:r>
          </w:p>
        </w:tc>
        <w:tc>
          <w:tcPr>
            <w:tcW w:w="4505" w:type="dxa"/>
            <w:vAlign w:val="bottom"/>
          </w:tcPr>
          <w:p w:rsidR="008B285F" w:rsidRDefault="008B285F" w:rsidP="008B285F">
            <w:pPr>
              <w:rPr>
                <w:rFonts w:ascii="Arial" w:hAnsi="Arial" w:cs="Arial"/>
              </w:rPr>
            </w:pPr>
            <w:r>
              <w:rPr>
                <w:rFonts w:ascii="Arial" w:hAnsi="Arial" w:cs="Arial"/>
              </w:rPr>
              <w:t>netto neerslag, dat wil zeggen neerslag min verdamping</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lastRenderedPageBreak/>
              <w:t>primate city</w:t>
            </w:r>
          </w:p>
        </w:tc>
        <w:tc>
          <w:tcPr>
            <w:tcW w:w="4505" w:type="dxa"/>
            <w:vAlign w:val="bottom"/>
          </w:tcPr>
          <w:p w:rsidR="008B285F" w:rsidRDefault="008B285F" w:rsidP="008B285F">
            <w:pPr>
              <w:rPr>
                <w:rFonts w:ascii="Arial" w:hAnsi="Arial" w:cs="Arial"/>
              </w:rPr>
            </w:pPr>
            <w:r>
              <w:rPr>
                <w:rFonts w:ascii="Arial" w:hAnsi="Arial" w:cs="Arial"/>
              </w:rPr>
              <w:t>een stad die qua bevolkingsaantal en op financieel, politiek en economisch gebied alle andere steden in het land verreweg overtreft.</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relatieve afstand</w:t>
            </w:r>
          </w:p>
        </w:tc>
        <w:tc>
          <w:tcPr>
            <w:tcW w:w="4505" w:type="dxa"/>
            <w:vAlign w:val="bottom"/>
          </w:tcPr>
          <w:p w:rsidR="008B285F" w:rsidRDefault="008B285F" w:rsidP="008B285F">
            <w:pPr>
              <w:rPr>
                <w:rFonts w:ascii="Arial" w:hAnsi="Arial" w:cs="Arial"/>
              </w:rPr>
            </w:pPr>
            <w:r>
              <w:rPr>
                <w:rFonts w:ascii="Arial" w:hAnsi="Arial" w:cs="Arial"/>
              </w:rPr>
              <w:t>de af te leggen afstand, weergegeven in de benodigde hoeveelheid tijd, kosten en moeite.</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ruilvoet</w:t>
            </w:r>
          </w:p>
        </w:tc>
        <w:tc>
          <w:tcPr>
            <w:tcW w:w="4505" w:type="dxa"/>
            <w:vAlign w:val="bottom"/>
          </w:tcPr>
          <w:p w:rsidR="008B285F" w:rsidRDefault="008B285F" w:rsidP="008B285F">
            <w:pPr>
              <w:rPr>
                <w:rFonts w:ascii="Arial" w:hAnsi="Arial" w:cs="Arial"/>
              </w:rPr>
            </w:pPr>
            <w:r>
              <w:rPr>
                <w:rFonts w:ascii="Arial" w:hAnsi="Arial" w:cs="Arial"/>
              </w:rPr>
              <w:t>de verhouding tussn de exportprijzen en de importprijzen; vaak uitgedrukt als de relatieve prijs van het geëxporteerde goed in de termen van het geïmporteerde goed.</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voedselbalans</w:t>
            </w:r>
          </w:p>
        </w:tc>
        <w:tc>
          <w:tcPr>
            <w:tcW w:w="4505" w:type="dxa"/>
            <w:vAlign w:val="bottom"/>
          </w:tcPr>
          <w:p w:rsidR="008B285F" w:rsidRDefault="008B285F" w:rsidP="008B285F">
            <w:pPr>
              <w:rPr>
                <w:rFonts w:ascii="Arial" w:hAnsi="Arial" w:cs="Arial"/>
              </w:rPr>
            </w:pPr>
            <w:r>
              <w:rPr>
                <w:rFonts w:ascii="Arial" w:hAnsi="Arial" w:cs="Arial"/>
              </w:rPr>
              <w:t>de verhouding tussen de voedselvoorraden en de consumptie van voedsel in een gebied.</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voedselzekerheid</w:t>
            </w:r>
          </w:p>
        </w:tc>
        <w:tc>
          <w:tcPr>
            <w:tcW w:w="4505" w:type="dxa"/>
            <w:vAlign w:val="bottom"/>
          </w:tcPr>
          <w:p w:rsidR="008B285F" w:rsidRDefault="008B285F" w:rsidP="008B285F">
            <w:pPr>
              <w:rPr>
                <w:rFonts w:ascii="Arial" w:hAnsi="Arial" w:cs="Arial"/>
              </w:rPr>
            </w:pPr>
            <w:r>
              <w:rPr>
                <w:rFonts w:ascii="Arial" w:hAnsi="Arial" w:cs="Arial"/>
              </w:rPr>
              <w:t>Situatie waarin alle mensen altijd toegang hebben tot voldoende en veilig voedsel met genoeg voedingswaarden om een actief en gezond leven te kunnen leiden.</w:t>
            </w:r>
          </w:p>
        </w:tc>
      </w:tr>
      <w:tr w:rsidR="008B285F" w:rsidTr="0037153C">
        <w:tc>
          <w:tcPr>
            <w:tcW w:w="4505" w:type="dxa"/>
            <w:shd w:val="clear" w:color="auto" w:fill="000000" w:themeFill="text1"/>
            <w:vAlign w:val="bottom"/>
          </w:tcPr>
          <w:p w:rsidR="008B285F" w:rsidRPr="0037153C" w:rsidRDefault="008B285F" w:rsidP="008B285F">
            <w:pPr>
              <w:rPr>
                <w:rFonts w:ascii="Arial" w:hAnsi="Arial" w:cs="Arial"/>
                <w:b/>
                <w:color w:val="FFFFFF" w:themeColor="background1"/>
              </w:rPr>
            </w:pPr>
            <w:r w:rsidRPr="0037153C">
              <w:rPr>
                <w:rFonts w:ascii="Arial" w:hAnsi="Arial" w:cs="Arial"/>
                <w:b/>
                <w:color w:val="FFFFFF" w:themeColor="background1"/>
              </w:rPr>
              <w:t>H2</w:t>
            </w:r>
          </w:p>
        </w:tc>
        <w:tc>
          <w:tcPr>
            <w:tcW w:w="4505" w:type="dxa"/>
            <w:shd w:val="clear" w:color="auto" w:fill="000000" w:themeFill="text1"/>
            <w:vAlign w:val="bottom"/>
          </w:tcPr>
          <w:p w:rsidR="008B285F" w:rsidRPr="0037153C" w:rsidRDefault="008B285F" w:rsidP="008B285F">
            <w:pPr>
              <w:rPr>
                <w:rFonts w:ascii="Arial" w:hAnsi="Arial" w:cs="Arial"/>
                <w:b/>
                <w:color w:val="FFFFFF" w:themeColor="background1"/>
              </w:rPr>
            </w:pP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Aquifer</w:t>
            </w:r>
          </w:p>
        </w:tc>
        <w:tc>
          <w:tcPr>
            <w:tcW w:w="4505" w:type="dxa"/>
            <w:vAlign w:val="bottom"/>
          </w:tcPr>
          <w:p w:rsidR="008B285F" w:rsidRDefault="008B285F" w:rsidP="008B285F">
            <w:pPr>
              <w:rPr>
                <w:rFonts w:ascii="Arial" w:hAnsi="Arial" w:cs="Arial"/>
              </w:rPr>
            </w:pPr>
            <w:r>
              <w:rPr>
                <w:rFonts w:ascii="Arial" w:hAnsi="Arial" w:cs="Arial"/>
              </w:rPr>
              <w:t>ondergrondse waterhoudende grondlaag, die ten minste aan de onderzijde is afgesloten door een ondoordringbare laag.</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Droogte-index</w:t>
            </w:r>
          </w:p>
        </w:tc>
        <w:tc>
          <w:tcPr>
            <w:tcW w:w="4505" w:type="dxa"/>
            <w:vAlign w:val="bottom"/>
          </w:tcPr>
          <w:p w:rsidR="008B285F" w:rsidRDefault="008B285F" w:rsidP="008B285F">
            <w:pPr>
              <w:rPr>
                <w:rFonts w:ascii="Arial" w:hAnsi="Arial" w:cs="Arial"/>
              </w:rPr>
            </w:pPr>
            <w:r>
              <w:rPr>
                <w:rFonts w:ascii="Arial" w:hAnsi="Arial" w:cs="Arial"/>
              </w:rPr>
              <w:t>een maatstaf voor de verhouding van de jaarlijkse neerslaghoeveelheid ten opzichte van de (mogelijk) verdamping.</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evaporatie</w:t>
            </w:r>
          </w:p>
        </w:tc>
        <w:tc>
          <w:tcPr>
            <w:tcW w:w="4505" w:type="dxa"/>
            <w:vAlign w:val="bottom"/>
          </w:tcPr>
          <w:p w:rsidR="008B285F" w:rsidRDefault="008B285F" w:rsidP="008B285F">
            <w:pPr>
              <w:rPr>
                <w:rFonts w:ascii="Arial" w:hAnsi="Arial" w:cs="Arial"/>
              </w:rPr>
            </w:pPr>
            <w:r>
              <w:rPr>
                <w:rFonts w:ascii="Arial" w:hAnsi="Arial" w:cs="Arial"/>
              </w:rPr>
              <w:t>de rechtstreeekse verdamping van oppervlaktewater.</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Evapotranspiratie</w:t>
            </w:r>
          </w:p>
        </w:tc>
        <w:tc>
          <w:tcPr>
            <w:tcW w:w="4505" w:type="dxa"/>
            <w:vAlign w:val="bottom"/>
          </w:tcPr>
          <w:p w:rsidR="008B285F" w:rsidRDefault="008B285F" w:rsidP="008B285F">
            <w:pPr>
              <w:rPr>
                <w:rFonts w:ascii="Arial" w:hAnsi="Arial" w:cs="Arial"/>
              </w:rPr>
            </w:pPr>
            <w:r>
              <w:rPr>
                <w:rFonts w:ascii="Arial" w:hAnsi="Arial" w:cs="Arial"/>
              </w:rPr>
              <w:t>verdampingsproces als combinatie van evaporatie en transpiratie</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Irrigatielandbouw</w:t>
            </w:r>
          </w:p>
        </w:tc>
        <w:tc>
          <w:tcPr>
            <w:tcW w:w="4505" w:type="dxa"/>
            <w:vAlign w:val="bottom"/>
          </w:tcPr>
          <w:p w:rsidR="008B285F" w:rsidRDefault="008B285F" w:rsidP="008B285F">
            <w:pPr>
              <w:rPr>
                <w:rFonts w:ascii="Arial" w:hAnsi="Arial" w:cs="Arial"/>
              </w:rPr>
            </w:pPr>
            <w:r>
              <w:rPr>
                <w:rFonts w:ascii="Arial" w:hAnsi="Arial" w:cs="Arial"/>
              </w:rPr>
              <w:t>een intensieve vorm van akkerbouw of tuinbouw die afhankelijk is van (kunstmatige) bevloeiingsmethoden.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Stroomgebied</w:t>
            </w:r>
          </w:p>
        </w:tc>
        <w:tc>
          <w:tcPr>
            <w:tcW w:w="4505" w:type="dxa"/>
            <w:vAlign w:val="bottom"/>
          </w:tcPr>
          <w:p w:rsidR="008B285F" w:rsidRDefault="008B285F" w:rsidP="008B285F">
            <w:pPr>
              <w:rPr>
                <w:rFonts w:ascii="Arial" w:hAnsi="Arial" w:cs="Arial"/>
              </w:rPr>
            </w:pPr>
            <w:r>
              <w:rPr>
                <w:rFonts w:ascii="Arial" w:hAnsi="Arial" w:cs="Arial"/>
              </w:rPr>
              <w:t>een gebied dat afwatert op een bepaalde rivier en zijn zijrivieren.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Transpiratie</w:t>
            </w:r>
          </w:p>
        </w:tc>
        <w:tc>
          <w:tcPr>
            <w:tcW w:w="4505" w:type="dxa"/>
            <w:vAlign w:val="bottom"/>
          </w:tcPr>
          <w:p w:rsidR="008B285F" w:rsidRDefault="008B285F" w:rsidP="008B285F">
            <w:pPr>
              <w:rPr>
                <w:rFonts w:ascii="Arial" w:hAnsi="Arial" w:cs="Arial"/>
              </w:rPr>
            </w:pPr>
            <w:r>
              <w:rPr>
                <w:rFonts w:ascii="Arial" w:hAnsi="Arial" w:cs="Arial"/>
              </w:rPr>
              <w:t>de verdamping van water via levende organismen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Verdroging</w:t>
            </w:r>
          </w:p>
        </w:tc>
        <w:tc>
          <w:tcPr>
            <w:tcW w:w="4505" w:type="dxa"/>
            <w:vAlign w:val="bottom"/>
          </w:tcPr>
          <w:p w:rsidR="008B285F" w:rsidRDefault="008B285F" w:rsidP="008B285F">
            <w:pPr>
              <w:rPr>
                <w:rFonts w:ascii="Arial" w:hAnsi="Arial" w:cs="Arial"/>
              </w:rPr>
            </w:pPr>
            <w:r>
              <w:rPr>
                <w:rFonts w:ascii="Arial" w:hAnsi="Arial" w:cs="Arial"/>
              </w:rPr>
              <w:t>proces waarbij de grondwaterspiegel daalt ten opzichte van het natuurlijke niveau</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Verzilting</w:t>
            </w:r>
          </w:p>
        </w:tc>
        <w:tc>
          <w:tcPr>
            <w:tcW w:w="4505" w:type="dxa"/>
            <w:vAlign w:val="bottom"/>
          </w:tcPr>
          <w:p w:rsidR="008B285F" w:rsidRDefault="008B285F" w:rsidP="008B285F">
            <w:pPr>
              <w:rPr>
                <w:rFonts w:ascii="Arial" w:hAnsi="Arial" w:cs="Arial"/>
              </w:rPr>
            </w:pPr>
            <w:r>
              <w:rPr>
                <w:rFonts w:ascii="Arial" w:hAnsi="Arial" w:cs="Arial"/>
              </w:rPr>
              <w:t>proces waarbij het zoutgehalte van grondwater of van de bodem toeneemt.</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Waterbalans</w:t>
            </w:r>
          </w:p>
        </w:tc>
        <w:tc>
          <w:tcPr>
            <w:tcW w:w="4505" w:type="dxa"/>
            <w:vAlign w:val="bottom"/>
          </w:tcPr>
          <w:p w:rsidR="008B285F" w:rsidRDefault="008B285F" w:rsidP="008B285F">
            <w:pPr>
              <w:rPr>
                <w:rFonts w:ascii="Arial" w:hAnsi="Arial" w:cs="Arial"/>
              </w:rPr>
            </w:pPr>
            <w:r>
              <w:rPr>
                <w:rFonts w:ascii="Arial" w:hAnsi="Arial" w:cs="Arial"/>
              </w:rPr>
              <w:t>de watervoorraad in een gebied plus de aangevoerde hoeveelheid water, verminderd met de verdampte hoeveelheid water en de afgevoerde hoeveelheid water.</w:t>
            </w:r>
          </w:p>
        </w:tc>
      </w:tr>
      <w:tr w:rsidR="008B285F" w:rsidRPr="0037153C"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lastRenderedPageBreak/>
              <w:t>Waterkringloop</w:t>
            </w:r>
          </w:p>
        </w:tc>
        <w:tc>
          <w:tcPr>
            <w:tcW w:w="4505" w:type="dxa"/>
            <w:vAlign w:val="bottom"/>
          </w:tcPr>
          <w:p w:rsidR="008B285F" w:rsidRPr="0037153C" w:rsidRDefault="008B285F" w:rsidP="008B285F">
            <w:pPr>
              <w:rPr>
                <w:rFonts w:ascii="Arial" w:hAnsi="Arial" w:cs="Arial"/>
                <w:lang w:val="nl-NL"/>
              </w:rPr>
            </w:pPr>
            <w:r w:rsidRPr="0037153C">
              <w:rPr>
                <w:rFonts w:ascii="Arial" w:hAnsi="Arial" w:cs="Arial"/>
                <w:lang w:val="nl-NL"/>
              </w:rPr>
              <w:t>het natuurkundige proces waarbij oppervlaktewater verdampt, in de atmosfeer condenseert en als neerslag uiteindelijk terugkeert in zee of op land.</w:t>
            </w:r>
          </w:p>
        </w:tc>
      </w:tr>
      <w:tr w:rsidR="008B285F" w:rsidTr="0037153C">
        <w:tc>
          <w:tcPr>
            <w:tcW w:w="4505" w:type="dxa"/>
            <w:shd w:val="clear" w:color="auto" w:fill="000000" w:themeFill="text1"/>
            <w:vAlign w:val="bottom"/>
          </w:tcPr>
          <w:p w:rsidR="008B285F" w:rsidRPr="0037153C" w:rsidRDefault="008B285F" w:rsidP="008B285F">
            <w:pPr>
              <w:rPr>
                <w:rFonts w:ascii="Arial" w:hAnsi="Arial" w:cs="Arial"/>
                <w:b/>
                <w:color w:val="FFFFFF" w:themeColor="background1"/>
                <w:highlight w:val="black"/>
              </w:rPr>
            </w:pPr>
            <w:r w:rsidRPr="0037153C">
              <w:rPr>
                <w:rFonts w:ascii="Arial" w:hAnsi="Arial" w:cs="Arial"/>
                <w:b/>
                <w:color w:val="FFFFFF" w:themeColor="background1"/>
              </w:rPr>
              <w:t>H3</w:t>
            </w:r>
          </w:p>
        </w:tc>
        <w:tc>
          <w:tcPr>
            <w:tcW w:w="4505" w:type="dxa"/>
            <w:shd w:val="clear" w:color="auto" w:fill="000000" w:themeFill="text1"/>
            <w:vAlign w:val="bottom"/>
          </w:tcPr>
          <w:p w:rsidR="008B285F" w:rsidRPr="0037153C" w:rsidRDefault="008B285F" w:rsidP="008B285F">
            <w:pPr>
              <w:rPr>
                <w:rFonts w:ascii="Arial" w:hAnsi="Arial" w:cs="Arial"/>
                <w:color w:val="FFFFFF" w:themeColor="background1"/>
                <w:highlight w:val="black"/>
              </w:rPr>
            </w:pPr>
          </w:p>
        </w:tc>
      </w:tr>
      <w:tr w:rsidR="008B285F" w:rsidRPr="0037153C"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conventionele reserve</w:t>
            </w:r>
          </w:p>
        </w:tc>
        <w:tc>
          <w:tcPr>
            <w:tcW w:w="4505" w:type="dxa"/>
            <w:vAlign w:val="bottom"/>
          </w:tcPr>
          <w:p w:rsidR="008B285F" w:rsidRPr="0037153C" w:rsidRDefault="008B285F" w:rsidP="008B285F">
            <w:pPr>
              <w:rPr>
                <w:rFonts w:ascii="Arial" w:hAnsi="Arial" w:cs="Arial"/>
                <w:lang w:val="nl-NL"/>
              </w:rPr>
            </w:pPr>
            <w:r w:rsidRPr="0037153C">
              <w:rPr>
                <w:rFonts w:ascii="Arial" w:hAnsi="Arial" w:cs="Arial"/>
                <w:lang w:val="nl-NL"/>
              </w:rPr>
              <w:t>de voorraad van fossiele energiebron die aantoonbaar of vermoedelijk kan worden gewonnen met de tot nu toe gebruikelijke methoden en kosten.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Fossiele energiebron</w:t>
            </w:r>
          </w:p>
        </w:tc>
        <w:tc>
          <w:tcPr>
            <w:tcW w:w="4505" w:type="dxa"/>
            <w:vAlign w:val="bottom"/>
          </w:tcPr>
          <w:p w:rsidR="008B285F" w:rsidRDefault="008B285F" w:rsidP="008B285F">
            <w:pPr>
              <w:rPr>
                <w:rFonts w:ascii="Arial" w:hAnsi="Arial" w:cs="Arial"/>
              </w:rPr>
            </w:pPr>
            <w:r>
              <w:rPr>
                <w:rFonts w:ascii="Arial" w:hAnsi="Arial" w:cs="Arial"/>
              </w:rPr>
              <w:t>een niet-duurzame brandstof (energiedrager zoals olie, steenkool, gas, turf) die is ontstaan uit resten van plantaardig en dierlijk leven in het geologische verleden van de aarde.</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land-locked country</w:t>
            </w:r>
          </w:p>
        </w:tc>
        <w:tc>
          <w:tcPr>
            <w:tcW w:w="4505" w:type="dxa"/>
            <w:vAlign w:val="bottom"/>
          </w:tcPr>
          <w:p w:rsidR="008B285F" w:rsidRDefault="008B285F" w:rsidP="008B285F">
            <w:pPr>
              <w:rPr>
                <w:rFonts w:ascii="Arial" w:hAnsi="Arial" w:cs="Arial"/>
              </w:rPr>
            </w:pPr>
            <w:r>
              <w:rPr>
                <w:rFonts w:ascii="Arial" w:hAnsi="Arial" w:cs="Arial"/>
              </w:rPr>
              <w:t>een land dat volledig is ingesloten door andere landen en daarmee voor de zeescheepvaart afhankelijk is van buitenlandse havens.</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niet-conventionele reserve</w:t>
            </w:r>
          </w:p>
        </w:tc>
        <w:tc>
          <w:tcPr>
            <w:tcW w:w="4505" w:type="dxa"/>
            <w:vAlign w:val="bottom"/>
          </w:tcPr>
          <w:p w:rsidR="008B285F" w:rsidRDefault="008B285F" w:rsidP="008B285F">
            <w:pPr>
              <w:rPr>
                <w:rFonts w:ascii="Arial" w:hAnsi="Arial" w:cs="Arial"/>
              </w:rPr>
            </w:pPr>
            <w:r>
              <w:rPr>
                <w:rFonts w:ascii="Arial" w:hAnsi="Arial" w:cs="Arial"/>
              </w:rPr>
              <w:t>de voorraad van een fossiele brandstof (teerzand, leisteenolie, gashydraat) die wat betreft vorm, zekerheid en economische en technische winbaarheid sterk afwijkt van de gangbare fossiele energiebronnen.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OPEC</w:t>
            </w:r>
          </w:p>
        </w:tc>
        <w:tc>
          <w:tcPr>
            <w:tcW w:w="4505" w:type="dxa"/>
            <w:vAlign w:val="bottom"/>
          </w:tcPr>
          <w:p w:rsidR="008B285F" w:rsidRDefault="008B285F" w:rsidP="008B285F">
            <w:pPr>
              <w:rPr>
                <w:rFonts w:ascii="Arial" w:hAnsi="Arial" w:cs="Arial"/>
              </w:rPr>
            </w:pPr>
            <w:r>
              <w:rPr>
                <w:rFonts w:ascii="Arial" w:hAnsi="Arial" w:cs="Arial"/>
                <w:i/>
                <w:iCs/>
              </w:rPr>
              <w:t>de</w:t>
            </w:r>
            <w:r>
              <w:rPr>
                <w:rFonts w:ascii="Arial" w:hAnsi="Arial" w:cs="Arial"/>
              </w:rPr>
              <w:t>Organization of the Petroleum Exporting Countries(1960, Bagdad) is een kartel van olieproducerende landen dat door het veranderen van het aanbod van olie de prijs daarvan kan sturen.</w:t>
            </w:r>
          </w:p>
        </w:tc>
      </w:tr>
      <w:tr w:rsidR="008B285F" w:rsidTr="0083553A">
        <w:tc>
          <w:tcPr>
            <w:tcW w:w="4505" w:type="dxa"/>
            <w:vAlign w:val="bottom"/>
          </w:tcPr>
          <w:p w:rsidR="008B285F" w:rsidRDefault="008B285F" w:rsidP="008B285F">
            <w:pPr>
              <w:rPr>
                <w:rFonts w:ascii="Arial" w:hAnsi="Arial" w:cs="Arial"/>
                <w:color w:val="1A1A1A"/>
              </w:rPr>
            </w:pPr>
            <w:r>
              <w:rPr>
                <w:rFonts w:ascii="Arial" w:hAnsi="Arial" w:cs="Arial"/>
                <w:color w:val="1A1A1A"/>
              </w:rPr>
              <w:t>peak oil</w:t>
            </w:r>
          </w:p>
        </w:tc>
        <w:tc>
          <w:tcPr>
            <w:tcW w:w="4505" w:type="dxa"/>
            <w:vAlign w:val="bottom"/>
          </w:tcPr>
          <w:p w:rsidR="008B285F" w:rsidRDefault="008B285F" w:rsidP="008B285F">
            <w:pPr>
              <w:rPr>
                <w:rFonts w:ascii="Arial" w:hAnsi="Arial" w:cs="Arial"/>
              </w:rPr>
            </w:pPr>
            <w:r>
              <w:rPr>
                <w:rFonts w:ascii="Arial" w:hAnsi="Arial" w:cs="Arial"/>
              </w:rPr>
              <w:t>het tijdstip waarop de productie van een bepaalde fossiele energiebron zijn maximum bereikt. Dit kan per land of voor de hele wereld vastgesteld worden.</w:t>
            </w:r>
          </w:p>
        </w:tc>
      </w:tr>
    </w:tbl>
    <w:p w:rsidR="00855524" w:rsidRDefault="001E785A"/>
    <w:sectPr w:rsidR="00855524" w:rsidSect="00CB16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5F"/>
    <w:rsid w:val="001E785A"/>
    <w:rsid w:val="0032167F"/>
    <w:rsid w:val="0037153C"/>
    <w:rsid w:val="008B285F"/>
    <w:rsid w:val="009E26A4"/>
    <w:rsid w:val="00CB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A84FC6"/>
  <w14:defaultImageDpi w14:val="32767"/>
  <w15:chartTrackingRefBased/>
  <w15:docId w15:val="{AF21B155-FD57-2842-873B-41AE4D90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Schechtman</dc:creator>
  <cp:keywords/>
  <dc:description/>
  <cp:lastModifiedBy>Leo Schechtman</cp:lastModifiedBy>
  <cp:revision>3</cp:revision>
  <dcterms:created xsi:type="dcterms:W3CDTF">2018-06-19T13:36:00Z</dcterms:created>
  <dcterms:modified xsi:type="dcterms:W3CDTF">2018-06-19T13:39:00Z</dcterms:modified>
</cp:coreProperties>
</file>