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FF" w:rsidRDefault="007A72FF" w:rsidP="007A72FF">
      <w:pPr>
        <w:pStyle w:val="Lijstalinea"/>
        <w:numPr>
          <w:ilvl w:val="0"/>
          <w:numId w:val="1"/>
        </w:numPr>
      </w:pPr>
      <w:r>
        <w:t>Accuraat: nauwkeurig.</w:t>
      </w:r>
      <w:bookmarkStart w:id="0" w:name="_GoBack"/>
      <w:bookmarkEnd w:id="0"/>
    </w:p>
    <w:p w:rsidR="007A72FF" w:rsidRDefault="007A72FF" w:rsidP="007A72FF">
      <w:pPr>
        <w:pStyle w:val="Lijstalinea"/>
        <w:numPr>
          <w:ilvl w:val="0"/>
          <w:numId w:val="1"/>
        </w:numPr>
      </w:pPr>
      <w:r>
        <w:t>Mogendheid: soevereine staat: de grote mogendheden.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Apocrief: ongeloofwaardig.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Concubinaat: buitenechtelijke samenleving.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Peigeren: doodgaan, sterven.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Burgerlijk: eenvoudig als een burger; (ook negatief) kleingeestig, bekrompen. / De burger betreffend: de burgerlijke stand register van geboorten, sterfgevallen, huwelijken in elke gemeente; burgerlijk recht.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Faillissement: toestand van een schuldenaar die niet in staat is aan zijn verplichtingen te voldoen, terwijl gerechtelijk beslag gelegd is op het hele vermogen.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Vacature: openstaande functie.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Flagrant: overduidelijk, onloochenbaar: een flagrante schending van de mensenrechten.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Accommodatie: aangebrachte voorzieningen.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Netelig: lastig, moeilijk, hachelijk.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Vitaal: voor het leven van groot belang.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Utopie: onbereikbaar ideaal.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Fraude: bedrog, gepleegd door vervalsing van administratie.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Louche: onguur; = onbetrouwbaar.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Rato: naar rato naar evenredigheid.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Optornen: tegen iets optornen er met moeite tegen ingaan.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Intern: inwendig, van binnen.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Fatale: noodlottig; de dood tot gevolg hebbend.</w:t>
      </w:r>
    </w:p>
    <w:p w:rsidR="00D825D6" w:rsidRDefault="007A72FF" w:rsidP="007A72FF">
      <w:pPr>
        <w:pStyle w:val="Lijstalinea"/>
        <w:numPr>
          <w:ilvl w:val="0"/>
          <w:numId w:val="1"/>
        </w:numPr>
      </w:pPr>
      <w:r>
        <w:t>Ratio: verhouding.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Distantiëren: afstand nemen van een mening.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Euthanasie: letterlijk betekenis: zachte dood. Iemand op zijn of haar verzoek pijnloos doden wegens een ongeneeslijke ziekte die ondraaglijk lijden met zich meebrengt.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Karekiet: bruine zangvogel.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Weifelen: onzeker zijn over de beslissing die gekozen moet worden.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Accelereren: het sneller laten gaan.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Appreciëren:  beschouwen als waardevol.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 xml:space="preserve">Eega: een eega kan zowel een man als een vrouw zijn: het woord betekent dus 'echtgenoot' én 'echtgenote'. Het is dus niet juist om eega alleen voor een vrouw te gebruiken en </w:t>
      </w:r>
      <w:proofErr w:type="spellStart"/>
      <w:r>
        <w:t>ega</w:t>
      </w:r>
      <w:proofErr w:type="spellEnd"/>
      <w:r>
        <w:t xml:space="preserve"> voor een man. De spelling </w:t>
      </w:r>
      <w:proofErr w:type="spellStart"/>
      <w:r>
        <w:t>ega</w:t>
      </w:r>
      <w:proofErr w:type="spellEnd"/>
      <w:r>
        <w:t xml:space="preserve"> is niet juist.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Gynaecoloog: de gynaecoloog houdt zich onder meer bezig met afwijkingen en ziekten van de vrouwelijke geslachtsorganen: infecties en ontstekingen, kanker, verzakkingsproblemen, incontinentie, hormonale problemen met of zonder menstruatiecyclus afwijkingen, seksuele problemen.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 xml:space="preserve">Onbedaarlijk: niet in staat om tot bedaren te komen. 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Onmiskenbaar: onloochenbaar; niet te ontkennen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Prevelde: zacht binnensmonds zeggen.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Tumult: het lawaai zoals veroorzaakt door een menigte.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Gezworene: ander woord voor jurylid.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Slaken: uiten.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Hachelijk: gevaarlijk, gewaagd.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Tomeloos: onbedwongen, teugelloos.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Uitstaand: nog te betalen.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Geëscaleerd: uit de hand gelopen</w:t>
      </w:r>
    </w:p>
    <w:p w:rsidR="007A72FF" w:rsidRDefault="007A72FF" w:rsidP="007A72FF">
      <w:pPr>
        <w:pStyle w:val="Lijstalinea"/>
        <w:numPr>
          <w:ilvl w:val="0"/>
          <w:numId w:val="1"/>
        </w:numPr>
      </w:pPr>
      <w:r>
        <w:t>Placentazoogdier: zoogdier dat in de baarmoeder gevoed wordt via de placenta</w:t>
      </w:r>
    </w:p>
    <w:sectPr w:rsidR="007A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75379"/>
    <w:multiLevelType w:val="hybridMultilevel"/>
    <w:tmpl w:val="3552EE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FF"/>
    <w:rsid w:val="003E67CC"/>
    <w:rsid w:val="007A72FF"/>
    <w:rsid w:val="009A1F23"/>
    <w:rsid w:val="00A2795F"/>
    <w:rsid w:val="00D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0358"/>
  <w15:chartTrackingRefBased/>
  <w15:docId w15:val="{131970D6-D4A5-454A-88A6-531A17A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de boer</dc:creator>
  <cp:keywords/>
  <dc:description/>
  <cp:lastModifiedBy>lotte de boer</cp:lastModifiedBy>
  <cp:revision>1</cp:revision>
  <dcterms:created xsi:type="dcterms:W3CDTF">2018-05-16T09:22:00Z</dcterms:created>
  <dcterms:modified xsi:type="dcterms:W3CDTF">2018-05-16T09:29:00Z</dcterms:modified>
</cp:coreProperties>
</file>