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49E" w:rsidRPr="008D2961" w:rsidRDefault="008D2961" w:rsidP="008D2961">
      <w:pPr>
        <w:jc w:val="center"/>
        <w:rPr>
          <w:b/>
          <w:sz w:val="32"/>
          <w:szCs w:val="32"/>
        </w:rPr>
      </w:pPr>
      <w:r w:rsidRPr="008D2961">
        <w:rPr>
          <w:b/>
          <w:sz w:val="32"/>
          <w:szCs w:val="32"/>
        </w:rPr>
        <w:t>Onderdeel 6 – Evaluatie</w:t>
      </w:r>
    </w:p>
    <w:p w:rsidR="008D2961" w:rsidRPr="008D2961" w:rsidRDefault="008D2961" w:rsidP="008D2961">
      <w:pPr>
        <w:rPr>
          <w:sz w:val="32"/>
          <w:szCs w:val="32"/>
        </w:rPr>
      </w:pPr>
      <w:r w:rsidRPr="008D2961">
        <w:rPr>
          <w:sz w:val="32"/>
          <w:szCs w:val="32"/>
        </w:rPr>
        <w:t>21 Kerngetallenanalyse</w:t>
      </w:r>
    </w:p>
    <w:p w:rsidR="008D2961" w:rsidRDefault="008D2961" w:rsidP="008D2961">
      <w:pPr>
        <w:pStyle w:val="Geenafstand"/>
      </w:pPr>
      <w:r w:rsidRPr="008D2961">
        <w:rPr>
          <w:b/>
        </w:rPr>
        <w:t>Liquiditeit:</w:t>
      </w:r>
      <w:r>
        <w:t xml:space="preserve"> korte termijn, heel snel inzicht of je in korte termijn aan je betalingsverplichtingen kan voldoen.</w:t>
      </w:r>
    </w:p>
    <w:p w:rsidR="008D2961" w:rsidRDefault="008D2961" w:rsidP="008D2961">
      <w:pPr>
        <w:pStyle w:val="Geenafstand"/>
        <w:numPr>
          <w:ilvl w:val="0"/>
          <w:numId w:val="1"/>
        </w:numPr>
      </w:pPr>
      <w:r>
        <w:t>De current ratio</w:t>
      </w:r>
    </w:p>
    <w:p w:rsidR="008D2961" w:rsidRDefault="008D2961" w:rsidP="008D2961">
      <w:pPr>
        <w:pStyle w:val="Geenafstand"/>
        <w:numPr>
          <w:ilvl w:val="0"/>
          <w:numId w:val="1"/>
        </w:numPr>
      </w:pPr>
      <w:r>
        <w:t>De quick ratio</w:t>
      </w:r>
    </w:p>
    <w:p w:rsidR="008D2961" w:rsidRDefault="008D2961" w:rsidP="008D2961">
      <w:pPr>
        <w:pStyle w:val="Geenafstand"/>
      </w:pPr>
    </w:p>
    <w:p w:rsidR="008D2961" w:rsidRDefault="008D2961" w:rsidP="008D2961">
      <w:pPr>
        <w:pStyle w:val="Geenafstand"/>
      </w:pPr>
      <w:r>
        <w:t xml:space="preserve">De </w:t>
      </w:r>
      <w:r w:rsidRPr="008D2961">
        <w:rPr>
          <w:b/>
        </w:rPr>
        <w:t>current ratio is</w:t>
      </w:r>
      <w:r>
        <w:t xml:space="preserve"> de verhouding tussen de vlottende activa (voorraden, vorderingen en liquide middelen) en het kort vreemd vermogen (of kortlopende schulden).</w:t>
      </w:r>
    </w:p>
    <w:p w:rsidR="008D2961" w:rsidRDefault="008D2961" w:rsidP="008D2961">
      <w:pPr>
        <w:pStyle w:val="Geenafstand"/>
      </w:pPr>
      <w:r w:rsidRPr="008D2961">
        <w:rPr>
          <w:highlight w:val="yellow"/>
        </w:rPr>
        <w:t>Current ratio = vlottende activa : kort vreemd vermogen</w:t>
      </w:r>
    </w:p>
    <w:p w:rsidR="008D2961" w:rsidRDefault="008D2961" w:rsidP="008D2961">
      <w:pPr>
        <w:pStyle w:val="Geenafstand"/>
      </w:pPr>
      <w:r>
        <w:t>Een current ratio kleiner dan 1 tot 2 wordt in veel branches als ongunstig beschouwd.</w:t>
      </w:r>
    </w:p>
    <w:p w:rsidR="008D2961" w:rsidRDefault="008D2961" w:rsidP="008D2961">
      <w:pPr>
        <w:pStyle w:val="Geenafstand"/>
      </w:pPr>
    </w:p>
    <w:p w:rsidR="008D2961" w:rsidRDefault="008D2961" w:rsidP="008D2961">
      <w:pPr>
        <w:pStyle w:val="Geenafstand"/>
      </w:pPr>
      <w:r>
        <w:t xml:space="preserve">Door de liquiditeit te beoordelen aan de hand van de </w:t>
      </w:r>
      <w:r w:rsidRPr="008D2961">
        <w:rPr>
          <w:b/>
        </w:rPr>
        <w:t>quick ratio</w:t>
      </w:r>
      <w:r>
        <w:t xml:space="preserve"> houden we rekening met de omstandigheid, dat de voorraden vaak minder liquide zijn dan ‘debiteuren’ en ‘liquide middelen’.</w:t>
      </w:r>
    </w:p>
    <w:p w:rsidR="008D2961" w:rsidRDefault="008D2961" w:rsidP="008D2961">
      <w:pPr>
        <w:pStyle w:val="Geenafstand"/>
      </w:pPr>
      <w:r w:rsidRPr="008D2961">
        <w:rPr>
          <w:highlight w:val="yellow"/>
        </w:rPr>
        <w:t>Quick ratio = (vlottende activa – voorraden) : kort vreemd vermogen</w:t>
      </w:r>
      <w:r>
        <w:t xml:space="preserve"> </w:t>
      </w:r>
    </w:p>
    <w:p w:rsidR="008D2961" w:rsidRDefault="008D2961" w:rsidP="008D2961">
      <w:pPr>
        <w:pStyle w:val="Geenafstand"/>
      </w:pPr>
      <w:r>
        <w:t>Zolang de quick ratio groter is dan 1, kan het bedrijf de kortlopende verplichtingen voldoen uit de lopende vorderingen en de liquide middelen.</w:t>
      </w:r>
    </w:p>
    <w:p w:rsidR="0018162B" w:rsidRDefault="0018162B" w:rsidP="008D2961">
      <w:pPr>
        <w:pStyle w:val="Geenafstand"/>
      </w:pPr>
    </w:p>
    <w:p w:rsidR="0018162B" w:rsidRDefault="00CE4EBB" w:rsidP="008D2961">
      <w:pPr>
        <w:pStyle w:val="Geenafstand"/>
      </w:pPr>
      <w:r w:rsidRPr="00CE4EBB">
        <w:rPr>
          <w:b/>
        </w:rPr>
        <w:t>Solvabiliteit:</w:t>
      </w:r>
      <w:r>
        <w:t xml:space="preserve"> lange termijn, ‘’is dit bedrijf in staat om in al haar schuldeisers tegemoet te komen na faillissement’’ -&gt; eigen- en vreemd vermogen. </w:t>
      </w:r>
    </w:p>
    <w:p w:rsidR="00CE4EBB" w:rsidRDefault="00CE4EBB" w:rsidP="008D2961">
      <w:pPr>
        <w:pStyle w:val="Geenafstand"/>
      </w:pPr>
      <w:r w:rsidRPr="00CE4EBB">
        <w:rPr>
          <w:highlight w:val="yellow"/>
        </w:rPr>
        <w:t>Solvabiliteit = totale activa : vreemd vermogen x 100%</w:t>
      </w:r>
    </w:p>
    <w:p w:rsidR="008D2961" w:rsidRDefault="00CE4EBB" w:rsidP="008D2961">
      <w:pPr>
        <w:pStyle w:val="Geenafstand"/>
      </w:pPr>
      <w:r>
        <w:t>In de regel wordt een onderneming solvabel geacht, wanneer dit verhoudingsgetal tussen 150% en 200% ligt. Een solvabiliteitspercentage van 150% betekent, dat de balanswaarde van de activa 1,5 maal zo groot is als het vreemd vermogen.</w:t>
      </w:r>
    </w:p>
    <w:p w:rsidR="00CE4EBB" w:rsidRDefault="00CE4EBB" w:rsidP="008D2961">
      <w:pPr>
        <w:pStyle w:val="Geenafstand"/>
      </w:pPr>
    </w:p>
    <w:p w:rsidR="00CE4EBB" w:rsidRDefault="00CE4EBB" w:rsidP="008D2961">
      <w:pPr>
        <w:pStyle w:val="Geenafstand"/>
      </w:pPr>
      <w:r w:rsidRPr="00CE4EBB">
        <w:rPr>
          <w:b/>
        </w:rPr>
        <w:t>Rentabiliteit:</w:t>
      </w:r>
      <w:r>
        <w:t xml:space="preserve"> ‘wat is de opbrengst van eigen-, vreemd- en totaal vermogen’</w:t>
      </w:r>
    </w:p>
    <w:p w:rsidR="009D1108" w:rsidRDefault="00CE4EBB" w:rsidP="008D2961">
      <w:pPr>
        <w:pStyle w:val="Geenafstand"/>
        <w:rPr>
          <w:highlight w:val="yellow"/>
        </w:rPr>
      </w:pPr>
      <w:r w:rsidRPr="00CE4EBB">
        <w:rPr>
          <w:highlight w:val="yellow"/>
        </w:rPr>
        <w:t>Rendement = opbrengst belegging : beginwaarde belegging x 100%</w:t>
      </w:r>
    </w:p>
    <w:p w:rsidR="009D1108" w:rsidRPr="009D1108" w:rsidRDefault="009D1108" w:rsidP="008D2961">
      <w:pPr>
        <w:pStyle w:val="Geenafstand"/>
      </w:pPr>
      <w:r>
        <w:t>Omdat het vermogen in de loop van een jaar veranderd, wordt uitgegaan van het gemiddelde geïnvesteerde vermogen in dat jaar:</w:t>
      </w:r>
    </w:p>
    <w:p w:rsidR="00CE4EBB" w:rsidRDefault="009D1108" w:rsidP="008D2961">
      <w:pPr>
        <w:pStyle w:val="Geenafstand"/>
        <w:rPr>
          <w:highlight w:val="yellow"/>
        </w:rPr>
      </w:pPr>
      <w:r w:rsidRPr="009D1108">
        <w:rPr>
          <w:highlight w:val="yellow"/>
        </w:rPr>
        <w:t>RTV = (winst + interest) : gemiddeld totaal vermogen x 100%</w:t>
      </w:r>
    </w:p>
    <w:p w:rsidR="009D1108" w:rsidRPr="009D1108" w:rsidRDefault="009D1108" w:rsidP="008D2961">
      <w:pPr>
        <w:pStyle w:val="Geenafstand"/>
      </w:pPr>
      <w:r w:rsidRPr="009D1108">
        <w:rPr>
          <w:highlight w:val="yellow"/>
        </w:rPr>
        <w:t>REV = winst : gemiddeld eigen vermogen x 100%</w:t>
      </w:r>
    </w:p>
    <w:p w:rsidR="009D1108" w:rsidRDefault="009D1108" w:rsidP="008D2961">
      <w:pPr>
        <w:pStyle w:val="Geenafstand"/>
      </w:pPr>
    </w:p>
    <w:p w:rsidR="009D1108" w:rsidRDefault="009D1108" w:rsidP="008D2961">
      <w:pPr>
        <w:pStyle w:val="Geenafstand"/>
      </w:pPr>
      <w:r>
        <w:t>Wanneer de onderneming van verscheidene vormen van vreemd vermogen gebruikt maakt, waarbij voor elk een andere interestvergoeding is overeengekomen, zijn de kosten van het vreemd vermogen (IVV = interest vreemd vermogen) op de volgende manier te bepalen:</w:t>
      </w:r>
    </w:p>
    <w:p w:rsidR="009D1108" w:rsidRDefault="009D1108" w:rsidP="008D2961">
      <w:pPr>
        <w:pStyle w:val="Geenafstand"/>
        <w:rPr>
          <w:highlight w:val="yellow"/>
        </w:rPr>
      </w:pPr>
      <w:r w:rsidRPr="009D1108">
        <w:rPr>
          <w:highlight w:val="yellow"/>
        </w:rPr>
        <w:t>IVV/RVV = betaalde interest : gemiddeld vreemd vermogen x 100%</w:t>
      </w:r>
    </w:p>
    <w:p w:rsidR="009D1108" w:rsidRDefault="009D1108" w:rsidP="008D2961">
      <w:pPr>
        <w:pStyle w:val="Geenafstand"/>
      </w:pPr>
    </w:p>
    <w:p w:rsidR="009D1108" w:rsidRDefault="009D1108" w:rsidP="008D2961">
      <w:pPr>
        <w:pStyle w:val="Geenafstand"/>
      </w:pPr>
      <w:r>
        <w:t>Het verband tussen de rentabiliteit van het eigen vermogen, totale vermogen en de kosten van het vreemd vermogen geven we met de volgende formule weer:</w:t>
      </w:r>
    </w:p>
    <w:p w:rsidR="009D1108" w:rsidRDefault="009D1108" w:rsidP="008D2961">
      <w:pPr>
        <w:pStyle w:val="Geenafstand"/>
        <w:rPr>
          <w:highlight w:val="yellow"/>
        </w:rPr>
      </w:pPr>
      <w:r w:rsidRPr="009D1108">
        <w:rPr>
          <w:highlight w:val="yellow"/>
        </w:rPr>
        <w:t>REV = RTV + (RTV-IVV) VV: EV</w:t>
      </w:r>
    </w:p>
    <w:p w:rsidR="009D1108" w:rsidRDefault="009D1108" w:rsidP="008D2961">
      <w:pPr>
        <w:pStyle w:val="Geenafstand"/>
      </w:pPr>
      <w:r w:rsidRPr="009D1108">
        <w:rPr>
          <w:b/>
        </w:rPr>
        <w:t>Het hefboomeffect</w:t>
      </w:r>
      <w:r>
        <w:t xml:space="preserve"> is het verschijnsel, dat als de kosten van vreemd vermogen lager zijn dan de rentabiliteit van het totale vermogen, de rentabiliteit van het eigen vermogen groter wordt dan de rentabiliteit van het totale vermogen.</w:t>
      </w:r>
    </w:p>
    <w:p w:rsidR="009D1108" w:rsidRDefault="009D1108" w:rsidP="008D2961">
      <w:pPr>
        <w:pStyle w:val="Geenafstand"/>
      </w:pPr>
      <w:r>
        <w:t xml:space="preserve">De verhouding VV:EV wordt de </w:t>
      </w:r>
      <w:r w:rsidRPr="009D1108">
        <w:rPr>
          <w:b/>
        </w:rPr>
        <w:t>hefboomfactor</w:t>
      </w:r>
      <w:r>
        <w:t xml:space="preserve"> genoemd.</w:t>
      </w:r>
    </w:p>
    <w:p w:rsidR="00CF3C32" w:rsidRDefault="00CF3C32" w:rsidP="008D2961">
      <w:pPr>
        <w:pStyle w:val="Geenafstand"/>
        <w:rPr>
          <w:highlight w:val="yellow"/>
        </w:rPr>
      </w:pPr>
      <w:r w:rsidRPr="00CF3C32">
        <w:rPr>
          <w:highlight w:val="yellow"/>
        </w:rPr>
        <w:t>Het totale hefboomeffect wordt weergegeven met: (RTV-IVV) VV:EV</w:t>
      </w:r>
    </w:p>
    <w:p w:rsidR="00CF3C32" w:rsidRDefault="00CF3C32" w:rsidP="008D2961">
      <w:pPr>
        <w:pStyle w:val="Geenafstand"/>
      </w:pPr>
    </w:p>
    <w:p w:rsidR="00CF3C32" w:rsidRDefault="00CF3C32" w:rsidP="00CF3C32">
      <w:pPr>
        <w:rPr>
          <w:sz w:val="32"/>
          <w:szCs w:val="32"/>
        </w:rPr>
      </w:pPr>
    </w:p>
    <w:p w:rsidR="00CF3C32" w:rsidRDefault="00CF3C32" w:rsidP="00CF3C32">
      <w:pPr>
        <w:rPr>
          <w:sz w:val="32"/>
          <w:szCs w:val="32"/>
        </w:rPr>
      </w:pPr>
    </w:p>
    <w:p w:rsidR="00CF3C32" w:rsidRDefault="00CF3C32" w:rsidP="00CF3C32">
      <w:pPr>
        <w:rPr>
          <w:sz w:val="32"/>
          <w:szCs w:val="32"/>
        </w:rPr>
      </w:pPr>
      <w:r>
        <w:rPr>
          <w:sz w:val="32"/>
          <w:szCs w:val="32"/>
        </w:rPr>
        <w:lastRenderedPageBreak/>
        <w:t>22 Analyse en bijstelling</w:t>
      </w:r>
    </w:p>
    <w:p w:rsidR="00DE412F" w:rsidRDefault="00DE412F" w:rsidP="00DE412F">
      <w:pPr>
        <w:pStyle w:val="Geenafstand"/>
      </w:pPr>
      <w:r>
        <w:t>Je kunt:</w:t>
      </w:r>
    </w:p>
    <w:p w:rsidR="00CF3C32" w:rsidRDefault="00DE412F" w:rsidP="00DE412F">
      <w:pPr>
        <w:pStyle w:val="Geenafstand"/>
        <w:numPr>
          <w:ilvl w:val="0"/>
          <w:numId w:val="2"/>
        </w:numPr>
      </w:pPr>
      <w:r>
        <w:t>Met gegevens over een afgelopen periode analyseren hoe een onderneming heeft gepresteerd, op basis van de prestaties van eerdere perioden en van geformuleerde doelstellingen aan het begin van die periode.</w:t>
      </w:r>
    </w:p>
    <w:p w:rsidR="00DE412F" w:rsidRPr="00CF3C32" w:rsidRDefault="00DE412F" w:rsidP="00DE412F">
      <w:pPr>
        <w:pStyle w:val="Geenafstand"/>
        <w:numPr>
          <w:ilvl w:val="0"/>
          <w:numId w:val="2"/>
        </w:numPr>
      </w:pPr>
      <w:r>
        <w:t>Met gegevens over een afgelopen periode analyseren hoe een niet-commerciële</w:t>
      </w:r>
      <w:bookmarkStart w:id="0" w:name="_GoBack"/>
      <w:bookmarkEnd w:id="0"/>
      <w:r>
        <w:t xml:space="preserve"> organisatie heeft gepresteerd, op basis van de prestaties van eerdere perioden en van geformuleerde doelstellingen aan het begin van die periode.</w:t>
      </w:r>
    </w:p>
    <w:sectPr w:rsidR="00DE412F" w:rsidRPr="00CF3C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54AD4"/>
    <w:multiLevelType w:val="hybridMultilevel"/>
    <w:tmpl w:val="CF3480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666699C"/>
    <w:multiLevelType w:val="hybridMultilevel"/>
    <w:tmpl w:val="5F2A535C"/>
    <w:lvl w:ilvl="0" w:tplc="F75AE56E">
      <w:start w:val="2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961"/>
    <w:rsid w:val="0015149E"/>
    <w:rsid w:val="0018162B"/>
    <w:rsid w:val="002806CF"/>
    <w:rsid w:val="00301101"/>
    <w:rsid w:val="00421F0B"/>
    <w:rsid w:val="008D2961"/>
    <w:rsid w:val="009D1108"/>
    <w:rsid w:val="00CE4EBB"/>
    <w:rsid w:val="00CF3C32"/>
    <w:rsid w:val="00DE41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1516E"/>
  <w15:chartTrackingRefBased/>
  <w15:docId w15:val="{052D27F2-BF84-4C5B-8174-CDCF0D19E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D29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88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465</Words>
  <Characters>2560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Sarissa</dc:creator>
  <cp:keywords/>
  <dc:description/>
  <cp:lastModifiedBy>Sarissa</cp:lastModifiedBy>
  <cp:revision>1</cp:revision>
  <dcterms:created xsi:type="dcterms:W3CDTF">2018-01-06T09:17:00Z</dcterms:created>
  <dcterms:modified xsi:type="dcterms:W3CDTF">2018-01-06T10:23:00Z</dcterms:modified>
</cp:coreProperties>
</file>