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 1000: West-Europa is een agrarische samenleving &gt; sterk autarkisch.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Vanaf 1000: West-Europa wordt weer een agrarisch-urbane samenleving met handel en nijverheid: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Toename veiligheid: vikingen-invallen houden op.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Toename voedselvoorziening stijgt: meer grond gebruikt voor landbouw, drooglegging van moerassen, inpolderingen.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Technische verbeteringen: risterploeg: dieper de grond in. Ipv ossen paarden gebruiken op het land.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Invoer drieslagstelsel: braak, zomergraan, wintergraan.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Gevolgen daarvan: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Bevolkingsgroei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Toename handel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= de opkomst van steden.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Belangrijkste handelsgebieden: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Vlaanderen, brugge, gent: nauwe contacten met achterland duitsland, frankrijk, aan de kust, centraal in noordwest-europa,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Noord-italiaanse stad steden: milaan, venetië, florence: middellandse zeegebied en noordwest-europa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Hanzesteden: handelaren van elkaar steden hebben bepaalde voorrechten, samen sterker.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