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8F" w:rsidRDefault="00765542">
      <w:pPr>
        <w:rPr>
          <w:b/>
          <w:sz w:val="40"/>
        </w:rPr>
      </w:pPr>
      <w:r w:rsidRPr="00765542">
        <w:rPr>
          <w:b/>
          <w:sz w:val="40"/>
        </w:rPr>
        <w:t>H7 Criminaliteit en straf</w:t>
      </w:r>
    </w:p>
    <w:p w:rsidR="00765542" w:rsidRPr="00765542" w:rsidRDefault="00765542">
      <w:pPr>
        <w:rPr>
          <w:rFonts w:ascii="Bradley Hand ITC" w:hAnsi="Bradley Hand ITC"/>
          <w:b/>
          <w:sz w:val="40"/>
        </w:rPr>
      </w:pPr>
      <w:r w:rsidRPr="00765542">
        <w:rPr>
          <w:rFonts w:ascii="Bradley Hand ITC" w:hAnsi="Bradley Hand ITC"/>
          <w:b/>
          <w:sz w:val="40"/>
        </w:rPr>
        <w:t>Waarom straffen we?</w:t>
      </w:r>
    </w:p>
    <w:p w:rsidR="00765542" w:rsidRPr="00765542" w:rsidRDefault="00765542" w:rsidP="00765542">
      <w:pPr>
        <w:pStyle w:val="Lijstalinea"/>
        <w:numPr>
          <w:ilvl w:val="0"/>
          <w:numId w:val="1"/>
        </w:numPr>
        <w:rPr>
          <w:b/>
          <w:sz w:val="28"/>
        </w:rPr>
      </w:pPr>
      <w:r w:rsidRPr="00765542">
        <w:rPr>
          <w:b/>
          <w:sz w:val="24"/>
        </w:rPr>
        <w:t>Vergelding</w:t>
      </w:r>
      <w:r w:rsidR="00224F4A">
        <w:rPr>
          <w:b/>
          <w:sz w:val="24"/>
        </w:rPr>
        <w:t xml:space="preserve"> (links)</w:t>
      </w:r>
      <w:r w:rsidRPr="00765542">
        <w:rPr>
          <w:b/>
          <w:sz w:val="24"/>
        </w:rPr>
        <w:t xml:space="preserve">: </w:t>
      </w:r>
      <w:r>
        <w:rPr>
          <w:sz w:val="24"/>
        </w:rPr>
        <w:t>Het kwaad mag niet ongestraft blijven. Een misdaad mag niet lonen en moet worden vergolden met een straf.</w:t>
      </w:r>
    </w:p>
    <w:p w:rsidR="00765542" w:rsidRPr="00765542" w:rsidRDefault="00765542" w:rsidP="00765542">
      <w:pPr>
        <w:pStyle w:val="Lijstalinea"/>
        <w:numPr>
          <w:ilvl w:val="0"/>
          <w:numId w:val="1"/>
        </w:numPr>
        <w:rPr>
          <w:b/>
          <w:sz w:val="28"/>
        </w:rPr>
      </w:pPr>
      <w:r>
        <w:rPr>
          <w:b/>
          <w:sz w:val="24"/>
        </w:rPr>
        <w:t>Generale preventie</w:t>
      </w:r>
      <w:r w:rsidR="00224F4A">
        <w:rPr>
          <w:b/>
          <w:sz w:val="24"/>
        </w:rPr>
        <w:t xml:space="preserve"> (rechts)</w:t>
      </w:r>
      <w:r>
        <w:rPr>
          <w:b/>
          <w:sz w:val="24"/>
        </w:rPr>
        <w:t>:</w:t>
      </w:r>
      <w:r>
        <w:rPr>
          <w:sz w:val="24"/>
        </w:rPr>
        <w:t xml:space="preserve"> Afschrikkingseffect van straf. Het vooruitzicht van een lange vrijheidsstraf moet de burgers ervan weerhouden een misdaad te plegen.</w:t>
      </w:r>
    </w:p>
    <w:p w:rsidR="00765542" w:rsidRPr="00845BDA" w:rsidRDefault="00765542" w:rsidP="00765542">
      <w:pPr>
        <w:pStyle w:val="Lijstalinea"/>
        <w:numPr>
          <w:ilvl w:val="0"/>
          <w:numId w:val="1"/>
        </w:numPr>
        <w:rPr>
          <w:b/>
          <w:sz w:val="28"/>
        </w:rPr>
      </w:pPr>
      <w:r>
        <w:rPr>
          <w:b/>
          <w:sz w:val="24"/>
        </w:rPr>
        <w:t>Speciale preventie</w:t>
      </w:r>
      <w:r w:rsidR="00224F4A">
        <w:rPr>
          <w:b/>
          <w:sz w:val="24"/>
        </w:rPr>
        <w:t xml:space="preserve"> (rechts)</w:t>
      </w:r>
      <w:r>
        <w:rPr>
          <w:b/>
          <w:sz w:val="24"/>
        </w:rPr>
        <w:t>:</w:t>
      </w:r>
      <w:r>
        <w:rPr>
          <w:sz w:val="28"/>
        </w:rPr>
        <w:t xml:space="preserve"> </w:t>
      </w:r>
      <w:r>
        <w:rPr>
          <w:sz w:val="24"/>
        </w:rPr>
        <w:t xml:space="preserve">Voorkomen dat een specifieke dader in de toekomst in herhaling vervalt. </w:t>
      </w:r>
    </w:p>
    <w:p w:rsidR="00845BDA" w:rsidRPr="00845BDA" w:rsidRDefault="00845BDA" w:rsidP="00765542">
      <w:pPr>
        <w:pStyle w:val="Lijstalinea"/>
        <w:numPr>
          <w:ilvl w:val="0"/>
          <w:numId w:val="1"/>
        </w:numPr>
        <w:rPr>
          <w:b/>
          <w:sz w:val="28"/>
        </w:rPr>
      </w:pPr>
      <w:r>
        <w:rPr>
          <w:b/>
          <w:sz w:val="24"/>
        </w:rPr>
        <w:t>Resocialisatie:</w:t>
      </w:r>
      <w:r>
        <w:rPr>
          <w:sz w:val="28"/>
        </w:rPr>
        <w:t xml:space="preserve"> </w:t>
      </w:r>
      <w:r>
        <w:rPr>
          <w:sz w:val="24"/>
        </w:rPr>
        <w:t xml:space="preserve">Met een straf probeert de overheid het gedrag van een dader te verbeteren, zodat hij zich aanpast aan de normen en waarden van de samenleving. </w:t>
      </w:r>
    </w:p>
    <w:p w:rsidR="00845BDA" w:rsidRPr="00845BDA" w:rsidRDefault="00845BDA" w:rsidP="00765542">
      <w:pPr>
        <w:pStyle w:val="Lijstalinea"/>
        <w:numPr>
          <w:ilvl w:val="0"/>
          <w:numId w:val="1"/>
        </w:numPr>
        <w:rPr>
          <w:b/>
          <w:sz w:val="28"/>
        </w:rPr>
      </w:pPr>
      <w:r>
        <w:rPr>
          <w:b/>
          <w:sz w:val="24"/>
        </w:rPr>
        <w:t>Beveiliging van de samenleving:</w:t>
      </w:r>
      <w:r>
        <w:rPr>
          <w:sz w:val="28"/>
        </w:rPr>
        <w:t xml:space="preserve"> </w:t>
      </w:r>
      <w:r>
        <w:rPr>
          <w:sz w:val="24"/>
        </w:rPr>
        <w:t xml:space="preserve">Sommige criminelen zijn een gevaar voor de samenleving zoals moordenaars. Bij hen heeft langdurige opsluiting de functie om de samenleving te beschermen! </w:t>
      </w:r>
      <w:r w:rsidRPr="00845BDA">
        <w:rPr>
          <w:color w:val="FF0000"/>
          <w:sz w:val="24"/>
        </w:rPr>
        <w:t>Dit is alleen bij zwaardere straffen!</w:t>
      </w:r>
    </w:p>
    <w:p w:rsidR="00845BDA" w:rsidRPr="00845BDA" w:rsidRDefault="00845BDA" w:rsidP="00765542">
      <w:pPr>
        <w:pStyle w:val="Lijstalinea"/>
        <w:numPr>
          <w:ilvl w:val="0"/>
          <w:numId w:val="1"/>
        </w:numPr>
        <w:rPr>
          <w:b/>
          <w:sz w:val="28"/>
        </w:rPr>
      </w:pPr>
      <w:r>
        <w:rPr>
          <w:b/>
          <w:sz w:val="24"/>
        </w:rPr>
        <w:t>Handhaving van de rechtsorde</w:t>
      </w:r>
      <w:bookmarkStart w:id="0" w:name="_GoBack"/>
      <w:bookmarkEnd w:id="0"/>
      <w:r>
        <w:rPr>
          <w:b/>
          <w:sz w:val="24"/>
        </w:rPr>
        <w:t>:</w:t>
      </w:r>
      <w:r>
        <w:rPr>
          <w:sz w:val="28"/>
        </w:rPr>
        <w:t xml:space="preserve"> </w:t>
      </w:r>
      <w:r>
        <w:rPr>
          <w:sz w:val="24"/>
        </w:rPr>
        <w:t>Door het strafsysteem maakt de overheid duidelijk dat het in onze rechtsstaat háár taak is om te straffen en niet die van de burgers. Straf voorkomt eigen rechter spelen en bijvoorbeeld wraak nemen.</w:t>
      </w:r>
    </w:p>
    <w:p w:rsidR="00845BDA" w:rsidRPr="00845BDA" w:rsidRDefault="00845BDA" w:rsidP="00765542">
      <w:pPr>
        <w:pStyle w:val="Lijstalinea"/>
        <w:numPr>
          <w:ilvl w:val="0"/>
          <w:numId w:val="1"/>
        </w:numPr>
        <w:rPr>
          <w:b/>
          <w:sz w:val="24"/>
        </w:rPr>
      </w:pPr>
      <w:r>
        <w:rPr>
          <w:b/>
          <w:sz w:val="24"/>
        </w:rPr>
        <w:t>Genoegdoening aan het slachtoffer:</w:t>
      </w:r>
      <w:r>
        <w:rPr>
          <w:sz w:val="28"/>
        </w:rPr>
        <w:t xml:space="preserve"> </w:t>
      </w:r>
      <w:r w:rsidRPr="00845BDA">
        <w:rPr>
          <w:sz w:val="24"/>
        </w:rPr>
        <w:t>Slachtoffers hebben spreekrecht</w:t>
      </w:r>
      <w:r>
        <w:rPr>
          <w:sz w:val="24"/>
        </w:rPr>
        <w:t xml:space="preserve"> gekregen en kunnen een schadevergoeding eisen. Toch ervaren slachtoffers de gegeven straf als te laag. Rechters houden rekening met het belang van de slachtoffers: ook zij moeten het gevoel ebben dat door de straf iets is rechtgezet.</w:t>
      </w:r>
    </w:p>
    <w:p w:rsidR="00845BDA" w:rsidRDefault="00845BDA" w:rsidP="00845BDA">
      <w:pPr>
        <w:rPr>
          <w:sz w:val="24"/>
        </w:rPr>
      </w:pPr>
    </w:p>
    <w:p w:rsidR="00845BDA" w:rsidRDefault="00845BDA" w:rsidP="00845BDA">
      <w:pPr>
        <w:rPr>
          <w:rFonts w:ascii="Bradley Hand ITC" w:hAnsi="Bradley Hand ITC"/>
          <w:b/>
          <w:sz w:val="40"/>
        </w:rPr>
      </w:pPr>
      <w:r w:rsidRPr="00845BDA">
        <w:rPr>
          <w:rFonts w:ascii="Bradley Hand ITC" w:hAnsi="Bradley Hand ITC"/>
          <w:b/>
          <w:sz w:val="40"/>
        </w:rPr>
        <w:t>Omstandigheden die rechter bij strafoplegging meeneemt</w:t>
      </w:r>
    </w:p>
    <w:p w:rsidR="00845BDA" w:rsidRDefault="00845BDA" w:rsidP="00845BDA">
      <w:pPr>
        <w:pStyle w:val="Lijstalinea"/>
        <w:numPr>
          <w:ilvl w:val="0"/>
          <w:numId w:val="2"/>
        </w:numPr>
        <w:rPr>
          <w:sz w:val="24"/>
        </w:rPr>
      </w:pPr>
      <w:r w:rsidRPr="00BF7364">
        <w:rPr>
          <w:b/>
          <w:sz w:val="24"/>
        </w:rPr>
        <w:t>De kosten van verschillende sancties</w:t>
      </w:r>
      <w:r w:rsidR="00BF7364" w:rsidRPr="00BF7364">
        <w:rPr>
          <w:b/>
          <w:sz w:val="24"/>
        </w:rPr>
        <w:t>: gevangenisstraffen</w:t>
      </w:r>
      <w:r w:rsidR="00BF7364">
        <w:rPr>
          <w:sz w:val="24"/>
        </w:rPr>
        <w:t xml:space="preserve"> zijn veel duurder dan boetes of taakstraffen.</w:t>
      </w:r>
    </w:p>
    <w:p w:rsidR="00845BDA" w:rsidRDefault="00BF7364" w:rsidP="00845BDA">
      <w:pPr>
        <w:pStyle w:val="Lijstalinea"/>
        <w:numPr>
          <w:ilvl w:val="0"/>
          <w:numId w:val="2"/>
        </w:numPr>
        <w:rPr>
          <w:sz w:val="24"/>
        </w:rPr>
      </w:pPr>
      <w:r w:rsidRPr="00BF7364">
        <w:rPr>
          <w:b/>
          <w:sz w:val="24"/>
        </w:rPr>
        <w:t>Cellentekort:</w:t>
      </w:r>
      <w:r>
        <w:rPr>
          <w:sz w:val="24"/>
        </w:rPr>
        <w:t xml:space="preserve"> als rechters veel vrijheidsstraffen opleggen bestaat het gevaar van cellentekort. Hierdoor moeten veroordelen soms jaren wachten op een beschikbare cel. </w:t>
      </w:r>
    </w:p>
    <w:p w:rsidR="00BF7364" w:rsidRDefault="00BF7364" w:rsidP="00BF7364">
      <w:pPr>
        <w:rPr>
          <w:sz w:val="24"/>
        </w:rPr>
      </w:pPr>
    </w:p>
    <w:p w:rsidR="00BF7364" w:rsidRDefault="00BF7364" w:rsidP="00BF7364">
      <w:pPr>
        <w:rPr>
          <w:rFonts w:ascii="Bradley Hand ITC" w:hAnsi="Bradley Hand ITC"/>
          <w:b/>
          <w:sz w:val="40"/>
        </w:rPr>
      </w:pPr>
      <w:r>
        <w:rPr>
          <w:rFonts w:ascii="Bradley Hand ITC" w:hAnsi="Bradley Hand ITC"/>
          <w:b/>
          <w:sz w:val="40"/>
        </w:rPr>
        <w:t>Reclassering</w:t>
      </w:r>
    </w:p>
    <w:p w:rsidR="00BF7364" w:rsidRPr="00BF7364" w:rsidRDefault="00BF7364" w:rsidP="00BF7364">
      <w:pPr>
        <w:pStyle w:val="Lijstalinea"/>
        <w:numPr>
          <w:ilvl w:val="0"/>
          <w:numId w:val="3"/>
        </w:numPr>
        <w:rPr>
          <w:b/>
          <w:sz w:val="24"/>
        </w:rPr>
      </w:pPr>
      <w:r w:rsidRPr="00BF7364">
        <w:rPr>
          <w:b/>
          <w:sz w:val="24"/>
        </w:rPr>
        <w:t>(Vroeg)hulp</w:t>
      </w:r>
      <w:r>
        <w:rPr>
          <w:b/>
          <w:sz w:val="24"/>
        </w:rPr>
        <w:t xml:space="preserve"> aan verdachten en gevangen: </w:t>
      </w:r>
      <w:r>
        <w:rPr>
          <w:sz w:val="24"/>
        </w:rPr>
        <w:t xml:space="preserve">begeleiding door de reclassering in Huis van Bewaring en gaat door als iemand veroordeeld is en in een gevangenis zit. Steun bij school of werk of tijdens de detentie en hulp als iemand zijn of haar leven weer op de rit wil krijgen. </w:t>
      </w:r>
    </w:p>
    <w:p w:rsidR="00BF7364" w:rsidRPr="00BF7364" w:rsidRDefault="00BF7364" w:rsidP="00BF7364">
      <w:pPr>
        <w:pStyle w:val="Lijstalinea"/>
        <w:numPr>
          <w:ilvl w:val="0"/>
          <w:numId w:val="3"/>
        </w:numPr>
        <w:rPr>
          <w:b/>
          <w:sz w:val="24"/>
        </w:rPr>
      </w:pPr>
      <w:r>
        <w:rPr>
          <w:b/>
          <w:sz w:val="24"/>
        </w:rPr>
        <w:lastRenderedPageBreak/>
        <w:t>Adviseren van rechters en het OM:</w:t>
      </w:r>
      <w:r>
        <w:rPr>
          <w:sz w:val="24"/>
        </w:rPr>
        <w:t xml:space="preserve"> de reclassering geeft bijvoorbeeld aan welke maatregel het beste zal zijn om te voorkomen dat de verdachte opnieuw de fout in gaat.</w:t>
      </w:r>
    </w:p>
    <w:p w:rsidR="00BF7364" w:rsidRPr="00BF7364" w:rsidRDefault="00BF7364" w:rsidP="00BF7364">
      <w:pPr>
        <w:pStyle w:val="Lijstalinea"/>
        <w:numPr>
          <w:ilvl w:val="0"/>
          <w:numId w:val="3"/>
        </w:numPr>
        <w:rPr>
          <w:b/>
          <w:sz w:val="24"/>
        </w:rPr>
      </w:pPr>
      <w:r>
        <w:rPr>
          <w:b/>
          <w:sz w:val="24"/>
        </w:rPr>
        <w:t>Toezicht houden bij schorsing van voorlopige hechtenis of voorwaardelijke invrijheidstelling:</w:t>
      </w:r>
      <w:r>
        <w:rPr>
          <w:sz w:val="24"/>
        </w:rPr>
        <w:t xml:space="preserve"> veroordeelde heeft gelijkmatig contact met een reclasseringswerker. </w:t>
      </w:r>
    </w:p>
    <w:p w:rsidR="00BF7364" w:rsidRPr="00BF7364" w:rsidRDefault="00BF7364" w:rsidP="00BF7364">
      <w:pPr>
        <w:pStyle w:val="Lijstalinea"/>
        <w:numPr>
          <w:ilvl w:val="0"/>
          <w:numId w:val="3"/>
        </w:numPr>
        <w:rPr>
          <w:b/>
          <w:sz w:val="24"/>
        </w:rPr>
      </w:pPr>
      <w:r>
        <w:rPr>
          <w:b/>
          <w:sz w:val="24"/>
        </w:rPr>
        <w:t>Toezicht bij werkstraffen:</w:t>
      </w:r>
      <w:r>
        <w:rPr>
          <w:sz w:val="24"/>
        </w:rPr>
        <w:t xml:space="preserve"> veroordeelde is veroordeeld en krijgt een oproep van de werkstrafunit in de regio en hij/zij moet dan werk gaan verrichten.</w:t>
      </w:r>
    </w:p>
    <w:p w:rsidR="00BF7364" w:rsidRPr="00BF7364" w:rsidRDefault="00BF7364" w:rsidP="00BF7364">
      <w:pPr>
        <w:pStyle w:val="Lijstalinea"/>
        <w:numPr>
          <w:ilvl w:val="0"/>
          <w:numId w:val="3"/>
        </w:numPr>
        <w:rPr>
          <w:b/>
          <w:sz w:val="24"/>
        </w:rPr>
      </w:pPr>
      <w:r>
        <w:rPr>
          <w:b/>
          <w:sz w:val="24"/>
        </w:rPr>
        <w:t xml:space="preserve">Re-integratie: </w:t>
      </w:r>
      <w:r>
        <w:rPr>
          <w:sz w:val="24"/>
        </w:rPr>
        <w:t xml:space="preserve">In de laatste weken van detentie wordt een gevangene begeleid naar een leven buiten de gevangenis. </w:t>
      </w:r>
    </w:p>
    <w:sectPr w:rsidR="00BF7364" w:rsidRPr="00BF7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C60"/>
    <w:multiLevelType w:val="hybridMultilevel"/>
    <w:tmpl w:val="7AC2F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A82921"/>
    <w:multiLevelType w:val="hybridMultilevel"/>
    <w:tmpl w:val="286C1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6B40C0"/>
    <w:multiLevelType w:val="hybridMultilevel"/>
    <w:tmpl w:val="9BE2D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42"/>
    <w:rsid w:val="00094E6B"/>
    <w:rsid w:val="00224F4A"/>
    <w:rsid w:val="00765542"/>
    <w:rsid w:val="00845BDA"/>
    <w:rsid w:val="00933A04"/>
    <w:rsid w:val="00BF73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3964"/>
  <w15:chartTrackingRefBased/>
  <w15:docId w15:val="{99206928-585F-406C-B72A-32828E25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2017-04-03T13:01:00Z</dcterms:created>
  <dcterms:modified xsi:type="dcterms:W3CDTF">2017-04-03T13:33:00Z</dcterms:modified>
</cp:coreProperties>
</file>