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Tijd</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Wat is de historische tijd van het boek?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Engeland 1880</w:t>
      </w: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Wat is de vertelde tijd van het boek?</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Een schooljaar (10 maanden)</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Wat is de verteltijd van het boek?</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88 bladzijden</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Vind je voorbeelden terug van tijdsprongen of tijdverdichting?</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neen</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Maakt de schrijver gebruik van flashforward of flashbackward?</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Neen</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Hoe is de chronologie van het boek?</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Het verhaal heeft een chronologische volgorde, de story en het plot zijn gelijk</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Hoe begint het verhaal (ab ovo / in medias res / post rem)? (Leg uit aan de hand van een fragment.)</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ab ovo: “De nacht was stil en donker toen Vincent Farley wakker schrok uit een droom die hij zich niet wilde herinneren. Hij staarde voor zich uit tot de donkere voorwerpen om hem heen hun vertrouwde vorm terugkregen: de bedden op de zolderslaapzaal van Elm College.”</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Wat voor einde heeft het verhaal?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Gesloten einde.</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Vertelstandpunt</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Personele verteller vanuit de derde persoon.</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Vanuit welk vertelstandpunt is het verhaal geschreven?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Het verhaal is geschreven vanuit de ogen van Vincent Farley. De lezer kent Vincent’s gevoelens en weet evenveel als vincent. Soms worden er spanningstechnieken gebruikt waarbij we echter minder weten dan het hoofdpersonage.</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Het is een personele verteller vanuit de derde persoon</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Blijft dit standpunt heel het boek hetzelfde? (Illustreer met voorbeelden).</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Dit standpunt blijft gedurende het hele boek zo.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“De nacht was stil en donker toen Vincent Farley wakker schrok uit een droom die hij zich niet wilde herinneren.” is hoe het boek begint</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“Vincent boog zich over zijn tekenpapier “Nu hoef je nooit meer bang te zijn.” Zei hij tegen zichzelf” is hoe het boek eindigt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Personages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Schets een beeld van de protagonist(en).</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Vincent Farley, een jongen van 16 met homosexuele gevoelens waar hij niet goed mee om kan. Hoewel hij vol met fantasie zit kan hij nog steeds verrassend realistisch uit de hoek komen.</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Is er sprake van een antagonist?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voor mij zijn er twee Antagonisten in het verhaal: De god Pan en de leerkracht Grieks-Latijn “Claude Husher”</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Bespreek kort de nevenpersonages.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Er komen veel andere jongens aan bod die bij vincent op internaat verblijven zoals: Lionel, Blake, Robin en Harold.</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Ruimte</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Engeland</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Selecteer twee fragmenten waarin de ruimte een belangrijke rol speelt en bespreek de fragmenten uitgebreid.</w:t>
      </w:r>
    </w:p>
    <w:p w:rsidR="00000000" w:rsidDel="00000000" w:rsidP="00000000" w:rsidRDefault="00000000" w:rsidRPr="00000000">
      <w:pPr>
        <w:pBdr/>
        <w:contextualSpacing w:val="0"/>
        <w:rPr>
          <w:sz w:val="20"/>
          <w:szCs w:val="20"/>
        </w:rPr>
      </w:pPr>
      <w:r w:rsidDel="00000000" w:rsidR="00000000" w:rsidRPr="00000000">
        <w:rPr>
          <w:b w:val="1"/>
          <w:sz w:val="20"/>
          <w:szCs w:val="20"/>
          <w:rtl w:val="0"/>
        </w:rPr>
        <w:t xml:space="preserve">“</w:t>
      </w:r>
      <w:r w:rsidDel="00000000" w:rsidR="00000000" w:rsidRPr="00000000">
        <w:rPr>
          <w:sz w:val="20"/>
          <w:szCs w:val="20"/>
          <w:rtl w:val="0"/>
        </w:rPr>
        <w:t xml:space="preserve">ik word niet volwassen,” zei Tim. “Ik ben niet van plan om groot te worden.”</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Mingus verslikte zich in zijn volgende volzin. Hij leek nu pas te zien welke doodse en veel te wijze ogen hem opnamen.</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“Wel...nou...ehm… ik vrees toch dat dat een van die dingen is waarin je Moeder Natuur zult moeten gehoorzamen,” grapte hij. “En ik verzeker je, die is strenger dan welke schoolmeester ook!”</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Niemand lachtte.</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Deze scène vindt dus plaats in de grote zaal op het belangrijkste moment van het hele schooljaar. iedereen is er, de ouders, de leerlingen, alle leerkrachten. Men moet op dat moment net laten zien wat voor een goede school Elm College is maar er ontstaat een conflict dat op een ongemakkelijke manier door leerkrachten vermeden wordt (tevergeefs) iedereen ziet dit gebeuren en de spanning loopt op.</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Elm’s Wood lag onder een deken van grijze wolken en windstille warmte.De bladeren ritselden niet. De schaduwen lagen onbeweeglijk als loerende vossen onder de struiken……..Terwijl Harolds hand rood zag van het bloed jammerde hij iets, iets onverstaanbaar. over hem viel de schaduw van de bomen die in het maanlicht iets dreigend hadden. Een schim rees op vanuit de bramenstruik.</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in dit stuk wordt eerst het hele hoofdstuk spanning opgebouwd door het betoverde bos te beschrijven. De hele actie scene draait volledig rond het bos en wat er gebeurt.</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Spanning</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Maakt de schrijver gebruik van bepaalde technieken om spanning op te wekken? (inhoudelijke, intellectuele, emotionele spanning of prospectief aspect) Zo ja, bespreek aan de hand van een fragment/fragmenten</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Het boek heeft vooral inhoudelijke spanning door de gebeurtenissen in Elm College. Vergelijkbaar met het tweede Harry Potter boek.</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“Vincent verstijfde, nog nooit zag hij zoiets afschuwelijk. hij voelde het, hij voelde het ademen….”</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-intellectuele spanning</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Thema en motief</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Wat is het hoofdthema in het boek?</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Het schaden van vertrouwen in cruciale tijden en hoe vriendschap en een samenleving daaronder kan lijden met wanhoop tot gevolg</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Bespreek de motieven doorheen het verhaal en illustreer met voorbeelden.</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De god pan is een motief, komt elke keer terug en wordt vaak besproken</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Vincents liefde voor Harold wordt elk hoofdstuk aangehaald/gehint</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Homosexualiteit tussen de leerlingen op Elm College</w:t>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