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D3" w:rsidRDefault="00270AD3" w:rsidP="00270AD3">
      <w:pPr>
        <w:pStyle w:val="Kop1"/>
        <w:jc w:val="center"/>
      </w:pPr>
      <w:r>
        <w:t>Arm en rijk H4</w:t>
      </w:r>
    </w:p>
    <w:p w:rsidR="00270AD3" w:rsidRDefault="00270AD3" w:rsidP="00270AD3">
      <w:pPr>
        <w:pStyle w:val="Geenafstand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6849"/>
      </w:tblGrid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  <w:hideMark/>
          </w:tcPr>
          <w:p w:rsidR="00270AD3" w:rsidRDefault="00270AD3" w:rsidP="00AF47F6">
            <w:pPr>
              <w:pStyle w:val="Geenafstand"/>
              <w:rPr>
                <w:b/>
                <w:sz w:val="36"/>
                <w:szCs w:val="36"/>
                <w:lang w:eastAsia="nl-NL"/>
              </w:rPr>
            </w:pPr>
            <w:r>
              <w:rPr>
                <w:b/>
                <w:sz w:val="36"/>
                <w:szCs w:val="36"/>
              </w:rPr>
              <w:t>H4 Een krimpende wereld</w:t>
            </w: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0108SJBodytekst"/>
              <w:spacing w:line="240" w:lineRule="exac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De hoofdvraag in dit hoofdstuk is: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  <w:lang w:eastAsia="nl-NL"/>
              </w:rPr>
            </w:pPr>
            <w:r>
              <w:rPr>
                <w:i/>
                <w:sz w:val="20"/>
                <w:szCs w:val="20"/>
              </w:rPr>
              <w:t>Wat zijn de sociaaleconomische, culturele en demografische gevolgen van de globalisering?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b/>
                <w:i/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 Een nieuwe tweedeling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</w:rPr>
              <w:t>Deelvragen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Welke invloed hadden de veranderingen in de samenleving op de verspreiding van ideeën?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Wat betekent de globalisering voor de culturele en regionale eigenheid van de bevolking?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Wat is het verband tussen de digitale samenleving, tijd-ruimtecompressie en stedelijke netwerken?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Industriële Revolutie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verstedelijking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veranderende samenleving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De Industriële Revolutie leidde tot verstedelijking en migratie. Dit maakte de weg vrij voor technische en culturele vernieuwing.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diffusie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verspreiding van ideeën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Diffusie is het verspreiden van ideeën en technieken.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Diffusie is mogelijk door contacten als gevolg van verplaatsingen van mensen.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 Voorbeeld: verspreiding van de islam door handelscontacten in Azië. De oorspronkelijke ideeën worden aangepast aan behoeften en omstandigheden.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Diffusieproces raakt in een versnelling door: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koloniale uitbreiding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zoektocht naar grondstoffen en afzetmarkten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beter vervoer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toename wereldhandel.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 Voorbeeld Groot-Brittannië in India.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cultuurgebied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Godsdienstig fundamentalisme is gebaseerd op letterlijke opvattingen van heilige geschriften.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Cultuurgebieden: contacten en conflicten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Cultuurgebied: verzameling van landen met ongeveer dezelfde cultuurelementen: taal, godsdienst, geschiedenis.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 migratie en diffusie steeds moeilijker af te grenzen.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 Een cultuurgebied is een erg grote en dus ruwe eenheid.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Overgangsgebieden tussen cultuurgebieden zijn vaak conflictgebieden.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Religieus fundamentalisme kan leiden tot globalisering van terrorisme. Armoede en achterstelling bevorderen fundamentalisme en terrorisme.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Moslimfundamentalisme is vaak een gevolg van tweedeling en exploitatie.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regionale identiteit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Gefragmenteerde modernisering: vernieuwingen bereiken slechts een klein deel van de bevolking en blijven los staan van de eigen cultuur.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Verlies van regionale identiteit door globalisering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De regionale identiteit neemt af door migratie en globalisering.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Modernisering vindt soms zeer gedeeltelijk plaats, waardoor veel mensen alleen maar de nadelen ervan ondervinden. De maatschappelijke tegenstellingen kunnen dan leiden tot een tweedeling van de samenleving.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270AD3" w:rsidRDefault="00270AD3" w:rsidP="00270AD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8"/>
        <w:gridCol w:w="6824"/>
      </w:tblGrid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wereldstad/metropool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mondiale netwerken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lingua franca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agglomeratievoordelen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Global </w:t>
            </w:r>
            <w:proofErr w:type="spellStart"/>
            <w:r>
              <w:rPr>
                <w:b/>
                <w:sz w:val="20"/>
                <w:szCs w:val="20"/>
              </w:rPr>
              <w:t>cities</w:t>
            </w:r>
            <w:proofErr w:type="spellEnd"/>
            <w:r>
              <w:rPr>
                <w:b/>
                <w:sz w:val="20"/>
                <w:szCs w:val="20"/>
              </w:rPr>
              <w:t xml:space="preserve"> in wereldwijde netwerken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Door de globalisering gaat de culturele diffusie snel, vooral via de wereldsteden. Deze zijn in wereldwijde netwerken met elkaar verbonden. De voertaal (lingua franca) is Engels.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Metropolen zijn aantrekkelijk voor bedrijven: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 bieden agglomeratievoordelen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 zijn een broeinest van kennis en creativiteit.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Volgens de diffusietheorie profiteren de gebieden die dichtbij een vernieuwingscentrum zitten, het meest.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transporttechnologie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communicatietechnologie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tijd-ruimtecompressie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Schaalvergroting: het uitvoeren van activiteiten in een grotere omvang, waardoor kostenbesparingen worden behaald.</w:t>
            </w: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Relatieve afstand: afstand uitgedrukt in tijd, kosten of moeite.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Tijd en ruimte krimpen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Door technische ontwikkelingen werden de vervoersmiddelen sneller en goedkoper (transporttechnologie).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Door het gebruik van containers en verbetering van de infrastructuur worden ook kosten bespaard.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De communicatietechnologie en betere logistiek brengen de transportstromen onder controle.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Schaalvergroting leidt tot lagere kosten per eenheid product. Door de veranderingen in de transporttechnologie en communicatietechnologie nemen de relatieve afstanden af. Tijd en ruimte worden in elkaar gedrukt: tijd-ruimtecompressie.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 Voorbeeld Columbus laat het verband zien tussen afstand (ruimte) en tijd.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Digitale revolutie: de algemene toepassing van computertechnologie.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netwerksamenleving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transnationalisme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digitale samenleving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Kapitaal en informatie worden zeer snel verplaatst dankzij de digitale revolutie. De gevolgen van de netwerksamenleving zijn groot: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Sommige groepen en gebieden blijven steeds meer achter.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Er ontstaat een nieuwe verdeling van het werk over de wereld.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Mondiale netwerken oefenen steeds meer invloed uit op het dagelijkse leven, deze netwerken veranderen steeds door de rol van de wereldsteden.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De burgers van een land worden makkelijker op de hoogte gehouden van politieke ontwikkelingen.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 Handel en investeringen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Deelvragen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 </w:t>
            </w:r>
            <w:r>
              <w:rPr>
                <w:i/>
                <w:sz w:val="20"/>
                <w:szCs w:val="20"/>
              </w:rPr>
              <w:t>Waardoor neemt het relatieve belang van de triade af?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Welke ontwikkelingen maken de vergaande internationale arbeidsverdeling mogelijk?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  <w:lang w:eastAsia="nl-NL"/>
              </w:rPr>
            </w:pPr>
            <w:r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Wat is de betekenis van amerikanisering in het globaliseringsproces?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  <w:lang w:eastAsia="nl-NL"/>
              </w:rPr>
            </w:pPr>
          </w:p>
        </w:tc>
      </w:tr>
    </w:tbl>
    <w:p w:rsidR="00270AD3" w:rsidRDefault="00270AD3" w:rsidP="00270AD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0"/>
        <w:gridCol w:w="6852"/>
      </w:tblGrid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ruilvoet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triade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Een driehoeksrelatie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De snelle groei van de wereldeconomie na 1945 betekende een grote toename van de productie en welvaart.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De meeste groei vond plaats in de overschrijvingen van geld over de wereld, waaronder de Directe Buitenlandse Investeringen.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De meeste handel vindt plaats tussen de triadelanden.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Tussen de rijke noordelijke landen en de armere </w:t>
            </w:r>
            <w:proofErr w:type="spellStart"/>
            <w:r>
              <w:rPr>
                <w:sz w:val="20"/>
                <w:szCs w:val="20"/>
              </w:rPr>
              <w:t>Zuidlanden</w:t>
            </w:r>
            <w:proofErr w:type="spellEnd"/>
            <w:r>
              <w:rPr>
                <w:sz w:val="20"/>
                <w:szCs w:val="20"/>
              </w:rPr>
              <w:t xml:space="preserve"> vindt veel minder handel plaats. Door de ongunstige ruilvoet nam het verschil in welvaart tussen noord en zuid toe.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Veel </w:t>
            </w:r>
            <w:proofErr w:type="spellStart"/>
            <w:r>
              <w:rPr>
                <w:sz w:val="20"/>
                <w:szCs w:val="20"/>
              </w:rPr>
              <w:t>Zuidlanden</w:t>
            </w:r>
            <w:proofErr w:type="spellEnd"/>
            <w:r>
              <w:rPr>
                <w:sz w:val="20"/>
                <w:szCs w:val="20"/>
              </w:rPr>
              <w:t xml:space="preserve"> ontwikkelen zich in economisch opzicht tot </w:t>
            </w:r>
            <w:proofErr w:type="spellStart"/>
            <w:r>
              <w:rPr>
                <w:sz w:val="20"/>
                <w:szCs w:val="20"/>
              </w:rPr>
              <w:t>NIC’s</w:t>
            </w:r>
            <w:proofErr w:type="spellEnd"/>
            <w:r>
              <w:rPr>
                <w:sz w:val="20"/>
                <w:szCs w:val="20"/>
              </w:rPr>
              <w:t xml:space="preserve">. Hierdoor verandert de samenstelling van de buitenlandse handel van die landen. Sommige landen voeren economische activiteiten die tot voor kort alleen plaatsvonden in de hoogontwikkelde </w:t>
            </w:r>
            <w:proofErr w:type="spellStart"/>
            <w:r>
              <w:rPr>
                <w:sz w:val="20"/>
                <w:szCs w:val="20"/>
              </w:rPr>
              <w:t>Noordlanden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Door de economische ontplooiing van de </w:t>
            </w:r>
            <w:proofErr w:type="spellStart"/>
            <w:r>
              <w:rPr>
                <w:sz w:val="20"/>
                <w:szCs w:val="20"/>
              </w:rPr>
              <w:t>Zuidlanden</w:t>
            </w:r>
            <w:proofErr w:type="spellEnd"/>
            <w:r>
              <w:rPr>
                <w:sz w:val="20"/>
                <w:szCs w:val="20"/>
              </w:rPr>
              <w:t xml:space="preserve"> nemen de onderlinge handelsstromen en migratiestromen tussen de </w:t>
            </w:r>
            <w:proofErr w:type="spellStart"/>
            <w:r>
              <w:rPr>
                <w:sz w:val="20"/>
                <w:szCs w:val="20"/>
              </w:rPr>
              <w:t>Zuidlanden</w:t>
            </w:r>
            <w:proofErr w:type="spellEnd"/>
            <w:r>
              <w:rPr>
                <w:sz w:val="20"/>
                <w:szCs w:val="20"/>
              </w:rPr>
              <w:t xml:space="preserve"> eveneens toe.</w:t>
            </w:r>
          </w:p>
          <w:p w:rsidR="00270AD3" w:rsidRDefault="00270AD3" w:rsidP="00AF47F6">
            <w:pPr>
              <w:pStyle w:val="0108SJBodytekst"/>
              <w:spacing w:line="24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■ De oorspronkelijke triade breidt zich uit met steeds meer landen, vooral in oostelijk en zuidelijk Azië.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economische mondialisering/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globalisering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multinationale ondernemingen (transnationale ondernemingen)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werkplaats ligt verderop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► Het voortschrijdende proces van internationale uitwisseling van goederen, technologie en kapitaal (economische mondialisering) wordt bevorderd door </w:t>
            </w:r>
            <w:proofErr w:type="spellStart"/>
            <w:r>
              <w:rPr>
                <w:sz w:val="20"/>
                <w:szCs w:val="20"/>
              </w:rPr>
              <w:t>MNO’s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Een MNO (of transnationale onderneming) heeft vestigingen in een of meer buitenlanden, die worden gecontroleerd door het moederbedrijf.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■ </w:t>
            </w:r>
            <w:proofErr w:type="spellStart"/>
            <w:r>
              <w:rPr>
                <w:sz w:val="20"/>
                <w:szCs w:val="20"/>
              </w:rPr>
              <w:t>MNO’s</w:t>
            </w:r>
            <w:proofErr w:type="spellEnd"/>
            <w:r>
              <w:rPr>
                <w:sz w:val="20"/>
                <w:szCs w:val="20"/>
              </w:rPr>
              <w:t xml:space="preserve"> zijn economisch en politiek gezien van enorme betekenis , onder andere voor werkgelegenheid en buitenlandse investeringen.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Tot voor kort verplaatsten de </w:t>
            </w:r>
            <w:proofErr w:type="spellStart"/>
            <w:r>
              <w:rPr>
                <w:sz w:val="20"/>
                <w:szCs w:val="20"/>
              </w:rPr>
              <w:t>MNO’s</w:t>
            </w:r>
            <w:proofErr w:type="spellEnd"/>
            <w:r>
              <w:rPr>
                <w:sz w:val="20"/>
                <w:szCs w:val="20"/>
              </w:rPr>
              <w:t xml:space="preserve"> de productieactiviteiten naar lagelonenlanden.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 Voorbeeld Nike geeft de verhouding aan tussen aantal werknemers in het moederbedrijf in de V.S. en de productieafdelingen in Azië.</w:t>
            </w:r>
          </w:p>
          <w:p w:rsidR="00270AD3" w:rsidRDefault="00270AD3" w:rsidP="00AF47F6">
            <w:pPr>
              <w:pStyle w:val="0108SJBodytekst"/>
              <w:tabs>
                <w:tab w:val="left" w:pos="0"/>
              </w:tabs>
              <w:spacing w:line="24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■ De meeste moederbedrijven zijn in de oorspronkelijke triadelanden gevestigd, maar onder andere in de BRIC-landen neemt dit aantal toe.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productieketen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ketting in stukjes geknipt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De productie van goederen kan worden onderverdeeld in stappen.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De drie grote stappen in de productieketen zijn: R&amp;D / fabricage / M&amp;D.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Flexibilisering van de productie houdt in dat veel tussenstapjes worden uitbesteed aan onderaannemers. Dit garandeert een goede prijs-kwaliteitverhouding.</w:t>
            </w:r>
          </w:p>
          <w:p w:rsidR="00270AD3" w:rsidRDefault="00270AD3" w:rsidP="00AF47F6">
            <w:pPr>
              <w:pStyle w:val="0108SJBodytekst"/>
              <w:tabs>
                <w:tab w:val="left" w:pos="0"/>
              </w:tabs>
              <w:spacing w:line="24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■ Onderaannemers besteden het maken van onderdelen vaak weer uit aan kleine bedrijfjes waar arbeidsomstandigheden en lonen vaak ver beneden het aanvaardbare niveau liggen.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internationale arbeidsverdeling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regionale specialisatie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Schuiven met werk over de wereld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Door het in stukjes knippen van de productieketen kunnen bepaalde activiteiten gemakkelijk worden verplaatst naar gebieden waar de locatiefactoren gunstig zijn. Hierdoor kan regionale specialisatie ontstaan.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Bedrijven maken gebruik van de gunstige locatiefactoren in andere landen.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 Voorbeeld: ICT-cluster in Zuid-India.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Verplaatsing van hoogwaardig werk neemt toe: outsourcing.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0AD3" w:rsidRDefault="00270AD3" w:rsidP="00270AD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4"/>
        <w:gridCol w:w="6858"/>
      </w:tblGrid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vrijhandel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Het waarom van groei en verschuiving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► De uitbreiding van handel en investeringen is alleen mogelijk onder bepaalde voorwaarden: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Vrijhandel en geen protectionisme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Groei van de welvaart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Goedkoop en snel massavervoer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Digitalisering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Wegvallen van politiek-militaire blokken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 Het veranderen van de politieke situatie verandert de concurrentieverhoudingen, zoals in het geval van goedkopere Vietnam.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culturele globalisering/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mondialisering</w:t>
            </w: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amerikanisering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Culturele globalisering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► Culturele globalisering is een uitwisseling van cultuurelementen. Veel daarvan waaien over uit de V.S.: amerikanisering. Voorbeelden zijn de film, kleding (jeans), </w:t>
            </w:r>
            <w:proofErr w:type="spellStart"/>
            <w:r>
              <w:rPr>
                <w:sz w:val="20"/>
                <w:szCs w:val="20"/>
              </w:rPr>
              <w:t>fast</w:t>
            </w:r>
            <w:proofErr w:type="spellEnd"/>
            <w:r>
              <w:rPr>
                <w:sz w:val="20"/>
                <w:szCs w:val="20"/>
              </w:rPr>
              <w:t xml:space="preserve"> food en frisdrank.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0108SJBodytekst"/>
              <w:tabs>
                <w:tab w:val="left" w:pos="283"/>
              </w:tabs>
              <w:spacing w:line="24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4.3 Groot-Brittannië en India in wereldperspectief</w:t>
            </w:r>
          </w:p>
          <w:p w:rsidR="00270AD3" w:rsidRDefault="00270AD3" w:rsidP="00AF47F6">
            <w:pPr>
              <w:pStyle w:val="0108SJBodytekst"/>
              <w:tabs>
                <w:tab w:val="left" w:pos="283"/>
              </w:tabs>
              <w:spacing w:line="240" w:lineRule="exact"/>
              <w:rPr>
                <w:rFonts w:ascii="Arial" w:hAnsi="Arial" w:cs="Arial"/>
                <w:b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Deelvragen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Op welke manier veranderde het Verenigd Koninkrijk van koloniale mogendheid naar een diensteneconomie als kernland in de wereld?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Om welke manier vulden Groot-Brittannië en India elkaar aan in de koloniale tijd en welke relaties onderhouden beide landen nu?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Waardoor nemen de sociale en economische verschillen binnen beide landen nog toe?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270AD3" w:rsidRDefault="00270AD3" w:rsidP="00AF47F6">
            <w:pPr>
              <w:pStyle w:val="0108SJBodytekst"/>
              <w:spacing w:line="240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industrialisatie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De Engelse Midlands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Door de Industriële Revolutie migreren veel mensen naar de steden. De industrialisatie begon in de Midlands.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■ Basis voor de industrie waren de ambachtelijke traditie en waterkracht. De aanleg van kanalen maakte goedkoper vervoer mogelijk.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Verdere industrialisatie en verstedelijking vond plaats dankzij steenkool en de stoommachine.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Na de Tweede Wereldoorlog stegen de lonen. Uiteindelijk betekende dit het einde van de zware industrie in Engeland.</w:t>
            </w:r>
          </w:p>
          <w:p w:rsidR="00270AD3" w:rsidRDefault="00270AD3" w:rsidP="00AF47F6">
            <w:pPr>
              <w:pStyle w:val="0108SJBodytekst"/>
              <w:tabs>
                <w:tab w:val="left" w:pos="0"/>
              </w:tabs>
              <w:spacing w:line="24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■ De oude industriegebieden kregen te maken met werkloosheid en sociaaleconomische problemen. Het industriële erfgoed en de kanalen zijn nu een toeristische attractie.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de-industrialisatie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zakelijke dienstverlening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Stedelijke concurrentie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De oude industriegebieden herstellen niet gemakkelijk van het verdwijnen van de oude industrie (de-industrialisatie). Hightechbedrijven en dienstverlenende bedrijven zoeken liever een andere vestigingsplaats.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● De zakelijke dienstverlening vestigt zich bij voorkeur in </w:t>
            </w:r>
            <w:proofErr w:type="spellStart"/>
            <w:r>
              <w:rPr>
                <w:rFonts w:eastAsia="Times New Roman"/>
                <w:sz w:val="20"/>
                <w:szCs w:val="20"/>
                <w:lang w:eastAsia="nl-NL"/>
              </w:rPr>
              <w:t>primate</w:t>
            </w:r>
            <w:proofErr w:type="spellEnd"/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nl-NL"/>
              </w:rPr>
              <w:t>city</w:t>
            </w:r>
            <w:proofErr w:type="spellEnd"/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Londen. Daarmee kunnen de oude industriegebieden niet concurreren.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 Dankzij internationale arbeidsverdeling groeien wereldsteden als Londen uit tot de hoofdkantoren van de geglobaliseerde economie.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regionale ongelijkheid</w:t>
            </w: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sociale ongelijkheid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Toenemende ongelijkheid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Binnen landen nemen de verschillen vaak toe.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Globalisering leidt soms tot een grotere regionale ongelijkheid.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■ Ruimtelijk: verwaarloosde industriewijken tegenover een bloeiende stadsrand.</w:t>
            </w:r>
          </w:p>
          <w:p w:rsidR="00270AD3" w:rsidRDefault="00270AD3" w:rsidP="00AF47F6">
            <w:pPr>
              <w:pStyle w:val="0108SJBodytekst"/>
              <w:tabs>
                <w:tab w:val="left" w:pos="0"/>
              </w:tabs>
              <w:spacing w:line="24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■ Sociaal: tegenover een gegoede middenklasse een groep kansarme inwoners.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0AD3" w:rsidRDefault="00270AD3" w:rsidP="00270AD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2"/>
        <w:gridCol w:w="6860"/>
      </w:tblGrid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India als wingewest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In de tijd van het imperialisme ging het om de stichting van een wereldrijk om in het bezit te komen van grondstoffen en afzetmarkten.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Het Verenigd Koninkrijk nam India als kolonie in bezit en legde de Engelse manier van besturen op.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 Na onafhankelijkheid viel het land uiteen in: hindoeïstisch India en islamitisch Pakistan.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De parel aan de kroon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De Britten investeren in de Indiase landbouw en mijnbouw. De aanleg van havens en spoorwegen was gericht op de export naar Groot-Brittannië.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■ India werd beschouwd als exploitatiekolonie, niet als vestigingskolonie.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De nieuwe infrastructuur maakte de Indiase afzetmarkt toegankelijk voor Britse industrieproducten. De werkgelegenheid in de Indiase ambachtelijke nijverheid nam hierdoor sterk af.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De Britse investeringen leidden niet tot welvaart in India, want: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- de winsten stroomden weg uit India.</w:t>
            </w:r>
          </w:p>
          <w:p w:rsidR="00270AD3" w:rsidRDefault="00270AD3" w:rsidP="00AF47F6">
            <w:pPr>
              <w:pStyle w:val="0108SJBodytekst"/>
              <w:tabs>
                <w:tab w:val="left" w:pos="283"/>
              </w:tabs>
              <w:spacing w:line="24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de bevolking groeide snel.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Wordt de kloof breder?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India groeit hard, maar de tegenstellingen tussen gebieden en bevolkingsgroepen lijken toe te nemen. Wordt de kloof ook in de toekomst tussen rijk en arm groter?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■ Rijk-arm: schatrijke elite tegenover een straatarme massa.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■ Stad-platteland: de landbouw blijft achter in productiviteit. De grotere boeren profiteren het meest van de overheidssteun.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● Door de groeiende middenklasse kan de sociale ongelijkheid langzamerhand afnemen.</w:t>
            </w:r>
          </w:p>
          <w:p w:rsidR="00270AD3" w:rsidRDefault="00270AD3" w:rsidP="00AF47F6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diversificatie</w:t>
            </w:r>
          </w:p>
        </w:tc>
        <w:tc>
          <w:tcPr>
            <w:tcW w:w="7040" w:type="dxa"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Planconomie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 xml:space="preserve"> of markteconomie?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Na de onafhankelijkheid hanteerde India een planeconomie. Na 1990 kwam hiervoor liberalisering en een markteconomie.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● </w:t>
            </w:r>
            <w:proofErr w:type="spellStart"/>
            <w:r>
              <w:rPr>
                <w:rFonts w:eastAsia="Times New Roman"/>
                <w:sz w:val="20"/>
                <w:szCs w:val="20"/>
                <w:lang w:eastAsia="nl-NL"/>
              </w:rPr>
              <w:t>SEZ’s</w:t>
            </w:r>
            <w:proofErr w:type="spellEnd"/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zijn aantrekkelijk voor </w:t>
            </w:r>
            <w:proofErr w:type="spellStart"/>
            <w:r>
              <w:rPr>
                <w:rFonts w:eastAsia="Times New Roman"/>
                <w:sz w:val="20"/>
                <w:szCs w:val="20"/>
                <w:lang w:eastAsia="nl-NL"/>
              </w:rPr>
              <w:t>MNO’s</w:t>
            </w:r>
            <w:proofErr w:type="spellEnd"/>
            <w:r>
              <w:rPr>
                <w:rFonts w:eastAsia="Times New Roman"/>
                <w:sz w:val="20"/>
                <w:szCs w:val="20"/>
                <w:lang w:eastAsia="nl-NL"/>
              </w:rPr>
              <w:t>, evenals: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- de kwantitatieve en kwalitatieve arbeidsmarkt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- de lage loonkosten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- de groeiende afzetmarkt.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Diversificatie vindt plaats door industrialisatie met accent op hightech en op de (zakelijke) dienstverlening.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</w:p>
        </w:tc>
      </w:tr>
      <w:tr w:rsidR="00270AD3" w:rsidTr="00AF47F6">
        <w:trPr>
          <w:trHeight w:val="244"/>
        </w:trPr>
        <w:tc>
          <w:tcPr>
            <w:tcW w:w="2248" w:type="dxa"/>
          </w:tcPr>
          <w:p w:rsidR="00270AD3" w:rsidRDefault="00270AD3" w:rsidP="00AF47F6">
            <w:pPr>
              <w:pStyle w:val="Geenafstand"/>
              <w:rPr>
                <w:i/>
                <w:sz w:val="18"/>
                <w:szCs w:val="18"/>
              </w:rPr>
            </w:pPr>
          </w:p>
        </w:tc>
        <w:tc>
          <w:tcPr>
            <w:tcW w:w="7040" w:type="dxa"/>
            <w:hideMark/>
          </w:tcPr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b/>
                <w:sz w:val="20"/>
                <w:szCs w:val="20"/>
                <w:lang w:eastAsia="nl-NL"/>
              </w:rPr>
              <w:t>Investeringen, handel en migratie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► De oude relaties tussen India en het Verenigd Koninkrijk zijn goed zichtbaar in de tegenwoordige handels-, investerings- en migratiepatronen.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Het VK investeert veel in India: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■ in onderwijs, gezondheidszorg en infrastructuur.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Omgekeerd veel DBI van India in het VK, vooral in de ICT.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■ Door een sterk groeiend aandeel van China in de Indiase buitenlandse handel neemt het aandeel van andere landen af.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Voor het VK is de handelsbalans licht negatief; het exportpakket van India past steeds minder in een koloniale handelsrelatie.</w:t>
            </w:r>
          </w:p>
          <w:p w:rsidR="00270AD3" w:rsidRDefault="00270AD3" w:rsidP="00AF47F6">
            <w:pPr>
              <w:pStyle w:val="Geenafstand"/>
              <w:spacing w:line="240" w:lineRule="exact"/>
              <w:rPr>
                <w:rFonts w:eastAsia="Times New Roman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sz w:val="20"/>
                <w:szCs w:val="20"/>
                <w:lang w:eastAsia="nl-NL"/>
              </w:rPr>
              <w:t>● De Indiërs in het VK vormen de grootste groep immigranten. Ze wonen vooral in Londen en omgeving.</w:t>
            </w:r>
          </w:p>
        </w:tc>
      </w:tr>
    </w:tbl>
    <w:p w:rsidR="008369A2" w:rsidRDefault="00270AD3"/>
    <w:sectPr w:rsidR="008369A2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77" w:rsidRPr="00D31B77" w:rsidRDefault="00270AD3" w:rsidP="00D31B77">
    <w:pPr>
      <w:pStyle w:val="Voettekst"/>
      <w:tabs>
        <w:tab w:val="clear" w:pos="4536"/>
      </w:tabs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D3"/>
    <w:rsid w:val="00270AD3"/>
    <w:rsid w:val="00A50A85"/>
    <w:rsid w:val="00B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EF35"/>
  <w15:chartTrackingRefBased/>
  <w15:docId w15:val="{F88CE568-3D6F-4748-852E-5FA975F1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27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70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108SJBodytekst">
    <w:name w:val="01_08_SJ_Bodytekst"/>
    <w:basedOn w:val="Standaard"/>
    <w:rsid w:val="00270AD3"/>
    <w:pPr>
      <w:widowControl w:val="0"/>
      <w:suppressAutoHyphens/>
      <w:spacing w:line="260" w:lineRule="exact"/>
    </w:pPr>
    <w:rPr>
      <w:color w:val="000000"/>
      <w:spacing w:val="-4"/>
      <w:kern w:val="28"/>
      <w:sz w:val="20"/>
    </w:rPr>
  </w:style>
  <w:style w:type="paragraph" w:styleId="Voettekst">
    <w:name w:val="footer"/>
    <w:basedOn w:val="Standaard"/>
    <w:link w:val="VoettekstChar"/>
    <w:rsid w:val="00270A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rsid w:val="00270A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eenafstand">
    <w:name w:val="No Spacing"/>
    <w:uiPriority w:val="1"/>
    <w:qFormat/>
    <w:rsid w:val="00270AD3"/>
    <w:pPr>
      <w:spacing w:after="0" w:line="240" w:lineRule="auto"/>
    </w:pPr>
    <w:rPr>
      <w:rFonts w:ascii="Arial" w:eastAsia="Calibri" w:hAnsi="Arial" w:cs="Arial"/>
    </w:rPr>
  </w:style>
  <w:style w:type="character" w:customStyle="1" w:styleId="Kop1Char">
    <w:name w:val="Kop 1 Char"/>
    <w:basedOn w:val="Standaardalinea-lettertype"/>
    <w:link w:val="Kop1"/>
    <w:uiPriority w:val="9"/>
    <w:rsid w:val="00270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2017-04-26T10:04:00Z</dcterms:created>
  <dcterms:modified xsi:type="dcterms:W3CDTF">2017-04-26T10:07:00Z</dcterms:modified>
</cp:coreProperties>
</file>