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Hoofdstuk 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Marktvorm-&gt;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Volkomen concurrentie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Monopolistische concurrentie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Oligopolie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Monopolie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Aantal aanbieders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heel veel aanbieders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beperkt aantal aanbieders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enkele aanbieders (5-10)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één aanbieder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Aard van goederen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homogene goederen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heterogene goederen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 en heterogene goederen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 en heterogene goederen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Doorzichtigheid van de goederen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volkomen transparant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niet transparant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niet transparant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niet transparant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Toetreding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makkelijk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relatief moeilijk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moeilijk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zeer moeilijk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Invloed op de prijs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geen invloed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grote invloed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beperkte invloed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zeer grote invloed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één markt of deelmarkten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één markt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deel markten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Prijsafzetlijn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horizontaal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licht dalend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sterk dalend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Voorbeelden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groente en fruit teelt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smartphones en besturingssystemen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providers en banken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 en Microsoft</w:t>
            </w:r>
          </w:p>
        </w:tc>
      </w:tr>
    </w:tbl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 = P x Q</w:t>
              <w:tab/>
              <w:t xml:space="preserve">totale opbrengst=omzet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TK = TCK(licht) + TVK(afhankelijk v. productie)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TW(totale winst) = TO - TK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GTK = TK / Q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GCK = TCK / 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GVK = TVK / Q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GO = TO / Q = P(rijs)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 = MK geeft maximale winst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MO = P                  TO=maximaal → MO=0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BEP: TO = TK geen winst geen verlies</w:t>
            </w:r>
          </w:p>
        </w:tc>
      </w:tr>
    </w:tbl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Homogeen product = </w:t>
      </w:r>
      <w:r w:rsidDel="00000000" w:rsidR="00000000" w:rsidRPr="00000000">
        <w:rPr>
          <w:sz w:val="24"/>
          <w:szCs w:val="24"/>
          <w:rtl w:val="0"/>
        </w:rPr>
        <w:t xml:space="preserve">voor de afnemer precies hetzelfde.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Heterogeen product = </w:t>
      </w:r>
      <w:r w:rsidDel="00000000" w:rsidR="00000000" w:rsidRPr="00000000">
        <w:rPr>
          <w:sz w:val="24"/>
          <w:szCs w:val="24"/>
          <w:rtl w:val="0"/>
        </w:rPr>
        <w:t xml:space="preserve">de aanschaf door de afnemer wordt mede bepaald door verschillen in de aard van het product. 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Maatschappelijk verantwoord ondernemen (MVO) = </w:t>
      </w:r>
      <w:r w:rsidDel="00000000" w:rsidR="00000000" w:rsidRPr="00000000">
        <w:rPr>
          <w:sz w:val="24"/>
          <w:szCs w:val="24"/>
          <w:rtl w:val="0"/>
        </w:rPr>
        <w:t xml:space="preserve">staat voor een balans tussen mensen, milieu en winst. 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Prijsdiscriminatie = </w:t>
      </w:r>
      <w:r w:rsidDel="00000000" w:rsidR="00000000" w:rsidRPr="00000000">
        <w:rPr>
          <w:sz w:val="24"/>
          <w:szCs w:val="24"/>
          <w:rtl w:val="0"/>
        </w:rPr>
        <w:t xml:space="preserve">een bedrijf vraagt verschillende prijzen voor hetzelfde product.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Prijsdifferentiatie = </w:t>
      </w:r>
      <w:r w:rsidDel="00000000" w:rsidR="00000000" w:rsidRPr="00000000">
        <w:rPr>
          <w:sz w:val="24"/>
          <w:szCs w:val="24"/>
          <w:rtl w:val="0"/>
        </w:rPr>
        <w:t xml:space="preserve">een bedrijf vraagt verschillende prijzen voor aanverwante producten. 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Het gevangenendilemma: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vb: prijsverlaging wel of niet doen, in klanten. </w:t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kolomspeler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rijspeler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;0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0;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0;0</w:t>
            </w:r>
          </w:p>
        </w:tc>
      </w:tr>
    </w:tbl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Dominante strategie A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wel</w:t>
      </w:r>
      <w:r w:rsidDel="00000000" w:rsidR="00000000" w:rsidRPr="00000000">
        <w:rPr>
          <w:sz w:val="24"/>
          <w:szCs w:val="24"/>
          <w:rtl w:val="0"/>
        </w:rPr>
        <w:t xml:space="preserve"> want dat levert hem het meeste op ongeacht wat de ander doet. (rood)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Dominante strategie B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wel</w:t>
      </w:r>
      <w:r w:rsidDel="00000000" w:rsidR="00000000" w:rsidRPr="00000000">
        <w:rPr>
          <w:sz w:val="24"/>
          <w:szCs w:val="24"/>
          <w:rtl w:val="0"/>
        </w:rPr>
        <w:t xml:space="preserve"> want dat levert hem het meeste op ongeacht wat de ander doet. (blauw)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Het nash evenwicht is waar 2 streepjes staan. In dit geval is dat bekennen voor beide. 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Nash evenwicht = </w:t>
      </w:r>
      <w:r w:rsidDel="00000000" w:rsidR="00000000" w:rsidRPr="00000000">
        <w:rPr>
          <w:sz w:val="24"/>
          <w:szCs w:val="24"/>
          <w:rtl w:val="0"/>
        </w:rPr>
        <w:t xml:space="preserve">evenwicht waar het voor beide spelers niet loont om af te wijken van het evenwicht.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