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nl-NL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nl-NL"/>
        </w:rPr>
        <w:t>Samenvatting vraag &amp; aanbod</w:t>
      </w:r>
    </w:p>
    <w:p w:rsid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Hoofdstuk 1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shd w:val="clear" w:color="auto" w:fill="FFFFFF"/>
          <w:lang w:eastAsia="nl-NL"/>
        </w:rPr>
        <w:t>Concrete markt:</w:t>
      </w:r>
      <w:r w:rsidRPr="00716F3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nl-NL"/>
        </w:rPr>
        <w:t xml:space="preserve"> vragers en aanbieders komen op bepaalde tijden direct met elkaar ik contact.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Abstracte markt: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het geheel van vraag naar en aanbod van een bepaald product. Er is geen plaats waar vragers en aanbieders elkaar ontmoeten.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Afzet: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aantal producten die verkocht worden.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Omzet = product x prijs 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Hoofdstuk 2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Betalingsbereidheid: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hoeveel een consument bereidt is om voor een product te betalen.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Individuele vraagfunctie: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geeft het verband weer tussen de prijs van een product en de vraag van een consument naar dat product.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Individuele vraaglijn: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vraagfunctie in een grafiek.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proofErr w:type="spellStart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Ceteris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 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Paribus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de veronderstelling dat de andere factoren die de vraag beïnvloeden constant blijven.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Collectieve vraaglijn: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geeft het verband weer tussen de 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rpijd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van een product en de totale vraag naar dat product.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Prijselasticiteit van de vraag: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geeft aan hoe sterk de vraag reageert op een prijsverandering.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proofErr w:type="spellStart"/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Ev</w:t>
      </w:r>
      <w:proofErr w:type="spellEnd"/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 xml:space="preserve"> = procentuele verandering van de gevraagde hoeveelheid / procentuele verandering van de prijs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Elastisch: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als de absolute waarde groter is dan 1. De procentuele vraagverandering is groter dan de procentuele prijsverandering.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proofErr w:type="spellStart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Inelastisch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als de absolute waarde van de prijselasticiteit kleiner dan 1. De procentuele vraagverandering is kleiner dan de procentuele prijsverandering.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Primaire goederen: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goederen die niet gemist kunnen worden.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Luxe goederen: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goederen die niet noodzakelijk zijn voor ons levensonderhoud.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Kruiselingse prijselasticiteit van de vraag: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geeft weer hoe sterk de vraag naar het ene goed reageert op een prijsverandering van een ander goed.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Ek = procentuele verandering van de gevraagde hoeveelheid van een product / procentuele verandering van de prijs van een ander product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Substitutiegoederen: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goederen die elkaar kunnen vervangen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Bij substitiegoederen is de kruiselingse prijselasticiteit positief.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Complementaire goederen: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goederen die elkaar aanvullen.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Inkomenselasticiteit van de vraag: hoeveel de gevraagde hoeveelheid reageert op veranderingen in het besteedbaar inkomen.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proofErr w:type="spellStart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Ey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= procentuele verandering van de gevraagde hoeveelheid / procentuele verandering van het besteedbaar inkomen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Normale goederen: hebben een positieve inkomenselasticiteit. Bij een hoger inkomen stijgt de gevraagde hoeveelheid.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Drempelinkomen: luxe goederen hebben een drempelinkomen; ze worden pas vanaf een bepaald inkomen gekocht. 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Verzadigingsinkomen: vanaf een bepaald inkomen leidt een inkomensstijging niet tot een verdere toename van de gevraagde hoeveelheid.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Inferieure goederen: goederen met een negatieve inkomenselasticiteit. Als het inkomen stijgt worden de inferieure goederen vervangen door luxere goederen.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Hoofdstuk 3</w:t>
      </w: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br/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Bedrijfskolom: omvat de schakels die nodig zijn bij de productie van een goed.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Markt: deze bevindt zich tussen de schakels van een bedrijfskolom. Vraag en aanbod komen hier samen.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Specialisatie: een bedrijf stoot activiteiten af naar een andere bedrijfskolom.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Parallellisatie: een bedrijf is in verschillende bedrijfskolommen actief.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= horizontaal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Integratie: als bedrijven meerdere schakels uit de eigen bedrijfskolom omvatten. Een tussenliggende markt wordt uitgeschakeld. 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= verticaal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Redenen: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-wegnemen van onzekerheid.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-lagere transactiekosten.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Differentiatie: een productfase wordt afgestoten. Tegenovergestelde van integratie. 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Transactiekosten: alle kosten die gemaakt worden om een ruil tot stand te brengen en deze af te wikkelen.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Verzonken kosten: kosten die een bedrijf niet meer kan 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teugverdienen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als de productie stopt, omdat er geen andere gebruiksmogelijkheden voor de machine zijn.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Berovingsprobleem (hold-upprobleem): als de machtsverhoudingen na het afsluiten van een contract veranderen.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Winstmarge: winst per eenheid product. Het verschil tussen de verkoopprijs en de kostprijs van het product.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Kapitaalgoederen: gaan een lange tijd mee en zijn onderhevig aan slijtage. Ook wel vaste activa genoemd.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Afschrijving: het rekening houden met de waardedaling van de vaste activa als gevolg van een slijtage of veroudering.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Constante kosten (vaste kosten): kosten die niet veranderen als de productie verandert.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Variabele kosten: kosten die 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meeveranderen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als de productie verandert.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lastRenderedPageBreak/>
        <w:t>Proportioneel variabele kosten: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als de totale variabele kosten evenredig stijgen met de productie.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Degressief variabele kosten: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variabele kosten die minder dan evenredig stijgen met de productie.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Progressief variabele kosten: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variabele kosten die meer dan evenredig stijgen met de productie.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Kostprijs: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kosten per product.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Omzet = afzet x verkoopprijs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Break-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evenafzet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 de afzet waarbij de totale omzet gelijk is aan de totale kosten.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Break-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evenomzet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de bijbehorende omzet.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Break-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evenpunt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hier speelt de fabrikant quitte; omzet is gelijk aan de kosten.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Hoofdstuk 4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proofErr w:type="spellStart"/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Ea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nl-NL"/>
        </w:rPr>
        <w:t xml:space="preserve"> </w:t>
      </w: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= procentuele verandering van het aanbod / procentuele verandering van de verkoopprijs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Individuele aanbodfunctie: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het verband tussen de prijs en de aangeboden hoeveelheid.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Balans: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overzicht van de bezittingen en het vermogen van een bedrijf op een bepaald moment.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Voorraadgrootheden.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Investeren: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het aanschaffen van kapitaalgoederen.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Eigen vermogen: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het door de eigenaar ingebrachte vermogen.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Vreemd vermogen: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lening.</w:t>
      </w:r>
    </w:p>
    <w:p w:rsidR="00716F37" w:rsidRDefault="00716F37" w:rsidP="00716F37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kort vreemd vermogen: moet binnen een jaar terugbetaald zijn.</w:t>
      </w:r>
    </w:p>
    <w:p w:rsidR="00716F37" w:rsidRPr="00716F37" w:rsidRDefault="00716F37" w:rsidP="00716F37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lang vreemd vermogen: leningen met een looptijd van langer dan een jaar.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Activa: de bezittingen. </w:t>
      </w:r>
    </w:p>
    <w:p w:rsidR="00716F37" w:rsidRDefault="00716F37" w:rsidP="00716F37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Vaste activa: bezittingen die langer dan een jaar meegaan.</w:t>
      </w:r>
    </w:p>
    <w:p w:rsidR="00716F37" w:rsidRDefault="00716F37" w:rsidP="00716F37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Vlottende activa: gaan korter dan een jaar mee.</w:t>
      </w:r>
    </w:p>
    <w:p w:rsidR="00716F37" w:rsidRPr="00716F37" w:rsidRDefault="00716F37" w:rsidP="00716F37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Liquide activa: geld in de kas en geld op een betaalrekening bij een bank.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Resultatenrekening: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geeft een overzicht van de opbrengst en de kosten van een bedrijf over een bepaalde periode.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Stroomgrootheden.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4 soorten rechtsvormen:</w:t>
      </w:r>
    </w:p>
    <w:p w:rsidR="00716F37" w:rsidRPr="00716F37" w:rsidRDefault="00716F37" w:rsidP="00716F3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Eenmanszaak: geleid door 1 persoon en die is ook de eigenaar. Er is geen scheiding van privévermogen en het vermogen van een onderneming.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Er is geen rechtspersoon.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Zelfstandige zonder personeel (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zzp'er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): eenmanszaak zonder personeel.</w:t>
      </w:r>
    </w:p>
    <w:p w:rsidR="00716F37" w:rsidRPr="00716F37" w:rsidRDefault="00716F37" w:rsidP="00716F3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lastRenderedPageBreak/>
        <w:t>Vennootschap onder firma (vof): de betrokkenen, firmanten genoemd, leiden de onderneming en zijn gezamenlijk eigenaar. Elk van de firmanten is hoofdelijk aansprakelijk voor de schulden van de onderneming.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Geen rechtspersoon.</w:t>
      </w:r>
    </w:p>
    <w:p w:rsidR="00716F37" w:rsidRPr="00716F37" w:rsidRDefault="00716F37" w:rsidP="00716F3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Besloten vennootschap (bv): het privévermogen van vennoten kan afgeschermd worden voor schuldeisers van de onderneming. De vennoten nemen elk voor een bepaald bedrag deel in het eigen vermogen van de o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n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derneming. Hun aansprakelijkheid beperkt zich tot het bedrag dat ze hebben ingelegd. 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Aandelen staan op naam en zijn niet vrij verhandelbaar.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Wel rechtspersoon.</w:t>
      </w:r>
    </w:p>
    <w:p w:rsidR="00716F37" w:rsidRPr="00716F37" w:rsidRDefault="00716F37" w:rsidP="00716F37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Naamloze vennootschap (nv): aandelen van een nv zijn wel vrij verhandelbaar en kunnen hierdoor een groter vermogen aantrekken.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Wel rechtspersoon.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Rechtspersoon: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een rechtspersoon kan zelfstandig rechtshandelingen verrichten zoals schulden aangaan, onroeren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d go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ed kopen en perso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neel aa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nnemen en ontslaan.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Aandeel: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bewijs van mede-eigendom van een onderneming.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Aandeelhouder: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eigenaar van een aandeel krijgt een deel van de winst.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Vennootschapsbelasting: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de belasting die een bedrijf betaald over zijn winst.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Een nv en bv moet Vennootschapsbelasting betalen met een max van 25%.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De winst van een eenmanszaak behoort tot de inkomensheffing. Deze kan oplopen toch 52%.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Hoofdstuk 5</w:t>
      </w: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br/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Aanbodoverschot/ tekort: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aanbod bij een bepaalde prijs groter dan re vraag en andersom.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Vraagoverschot/ tekort: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de vraag is bij een bepaalde prijs groter dan het aanbod en andersom.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Evenwichtsprijs (marktprijs):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als vraag en aanbod gelijk zijn.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Evenwichtshoeveelheid: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de afzet bij de evenwichtsprijs.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Marktmechanisme (prijsmechanisme):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Theorie die stelt dat precies die ho</w:t>
      </w:r>
      <w:r>
        <w:rPr>
          <w:rFonts w:eastAsia="Times New Roman" w:cstheme="minorHAnsi"/>
          <w:color w:val="222222"/>
          <w:sz w:val="24"/>
          <w:szCs w:val="24"/>
          <w:lang w:eastAsia="nl-NL"/>
        </w:rPr>
        <w:t>eveelheid wordt geproduceerd waa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r behoefte aan is.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Ook wel onzichtbare hand genoemd.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Optimale allocatie van productiefactoren: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productiefactoren worden daar ingezet waar er producten mee worden gemaakt die het beste in de behoefte voorzien. 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Hoofdstuk 6</w:t>
      </w:r>
      <w:bookmarkStart w:id="0" w:name="_GoBack"/>
      <w:bookmarkEnd w:id="0"/>
      <w:r>
        <w:rPr>
          <w:rFonts w:eastAsia="Times New Roman" w:cstheme="minorHAnsi"/>
          <w:b/>
          <w:color w:val="222222"/>
          <w:sz w:val="24"/>
          <w:szCs w:val="24"/>
          <w:lang w:eastAsia="nl-NL"/>
        </w:rPr>
        <w:br/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Werkgelegenheid: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alle bezette banen.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Vacature: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onvervulde vraag naar arbeid.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Aanbod van arbeid (beroepsbevolking):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het aanbod van arbeid.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Beroepsbevolking = Werkgelegenheid  + werklozen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Werklozen: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mensen die op zoek zijn naar een baan.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Werkloosheid = beroepsbevolking - werkgelegenheid 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Vraag naar arbeid: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werkgelegenheid + vacatures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Verkrapping van de arbeidsmarkt: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de werkgelegenheid plus vacatures groeien harder dan de beroepsbevolking.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Vraag groter dan het aanbod.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Verruiming van de arbeidsmarkt: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als de beroepsbevolking harder groeit dan de werkgelegenheid plus de vacatures.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Aanbod groter dan de vraag.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Loonelasticiteit van het arbeidsaanbod = procentuele verandering van het arbeidsaanbod / procentuele verandering van het loon</w:t>
      </w:r>
      <w:r>
        <w:rPr>
          <w:rFonts w:eastAsia="Times New Roman" w:cstheme="minorHAnsi"/>
          <w:b/>
          <w:color w:val="222222"/>
          <w:sz w:val="24"/>
          <w:szCs w:val="24"/>
          <w:lang w:eastAsia="nl-NL"/>
        </w:rPr>
        <w:br/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Het arbeidsaanbod is in het algemeen tamelijk loonelastisch.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Arbeidsproductiviteit: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de opbrengst van een werknemer is de productie die hij haalt in een bepaalde tijd.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b/>
          <w:color w:val="222222"/>
          <w:sz w:val="24"/>
          <w:szCs w:val="24"/>
          <w:lang w:eastAsia="nl-NL"/>
        </w:rPr>
        <w:t>Loonelasticiteit van de arbeidsvraag = procentuele verandering van de arbeidsvraag / procentuele verandering van het loon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Kapitaalintensief: productieproces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waar veel kapitaalgoederen worden ingezet in verhouding tot arbeid. 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Arbeidsintensief: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hoeveelheid arbeid is in verhouding groter dan de hoeveelheid ingezette kapitaalgoederen.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Sparen: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het niet besteden van inkomen.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Ruilen over tijd (</w:t>
      </w:r>
      <w:proofErr w:type="spellStart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intertemporele</w:t>
      </w:r>
      <w:proofErr w:type="spellEnd"/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 ruil):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consumptie in de toekomst ruilen voor de consumptie van nu.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Lenen: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je ontvangt nu geld en moet dat later terugbetalen.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Rente: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prijs voor het lenen of sparen.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Beleggen: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het vastleggen van je overtollige geld voor kortere of lange tijd met als doel in de toekomst een financieel voordeel te halen.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Gedwongen besparingen: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mensen moeten verplicht beleggen zoals bij bv. je pensioen.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Obligatie: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schuldbekentenis voor een langlopende lening (meer dan 2 jaar) met een vaste rente.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Hypothecaire lening: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lening voor het kopen van een huis.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 xml:space="preserve">Geldmarkt: 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>worden kortlopende leningen verhandeld met een maximale looptijd van 2 jaar.</w:t>
      </w:r>
    </w:p>
    <w:p w:rsidR="00716F37" w:rsidRPr="00716F37" w:rsidRDefault="00716F37" w:rsidP="00716F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716F37">
        <w:rPr>
          <w:rFonts w:eastAsia="Times New Roman" w:cstheme="minorHAnsi"/>
          <w:color w:val="222222"/>
          <w:sz w:val="24"/>
          <w:szCs w:val="24"/>
          <w:u w:val="single"/>
          <w:lang w:eastAsia="nl-NL"/>
        </w:rPr>
        <w:t>Kapitaalmarkt:</w:t>
      </w:r>
      <w:r w:rsidRPr="00716F37">
        <w:rPr>
          <w:rFonts w:eastAsia="Times New Roman" w:cstheme="minorHAnsi"/>
          <w:color w:val="222222"/>
          <w:sz w:val="24"/>
          <w:szCs w:val="24"/>
          <w:lang w:eastAsia="nl-NL"/>
        </w:rPr>
        <w:t xml:space="preserve"> gaat om langlopend en permanent vermogen.</w:t>
      </w:r>
    </w:p>
    <w:p w:rsidR="00562C87" w:rsidRPr="00716F37" w:rsidRDefault="00562C87">
      <w:pPr>
        <w:rPr>
          <w:rFonts w:cstheme="minorHAnsi"/>
          <w:sz w:val="24"/>
          <w:szCs w:val="24"/>
        </w:rPr>
      </w:pPr>
    </w:p>
    <w:sectPr w:rsidR="00562C87" w:rsidRPr="0071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154B"/>
    <w:multiLevelType w:val="hybridMultilevel"/>
    <w:tmpl w:val="04FA2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30CC0"/>
    <w:multiLevelType w:val="hybridMultilevel"/>
    <w:tmpl w:val="A5008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84FA2"/>
    <w:multiLevelType w:val="hybridMultilevel"/>
    <w:tmpl w:val="F8FC8D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7"/>
    <w:rsid w:val="00562C87"/>
    <w:rsid w:val="0071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6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1511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Kolen</dc:creator>
  <cp:lastModifiedBy>Zsuzsa Kolen</cp:lastModifiedBy>
  <cp:revision>1</cp:revision>
  <dcterms:created xsi:type="dcterms:W3CDTF">2017-01-23T13:09:00Z</dcterms:created>
  <dcterms:modified xsi:type="dcterms:W3CDTF">2017-01-23T13:23:00Z</dcterms:modified>
</cp:coreProperties>
</file>