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Paragraaf 2: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Primair: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landbouw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visserij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mijnbouw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Secundair: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industrie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ambacht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bouw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tertiair: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handel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verkeer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overheidsdiensten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banken en verzekeringen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welvaart berekenen: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1 Bnp/hoofd: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alles wat verdiend word in een jaar : aantal inwoners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2 redenen dat dit in arme landen lager is: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Koopkracht: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Hoeveel je voor een dollar in een land kunt kopen.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Formele sector:</w:t>
      </w:r>
      <w:r w:rsidDel="00000000" w:rsidR="00000000" w:rsidRPr="00000000">
        <w:rPr>
          <w:sz w:val="24"/>
          <w:szCs w:val="24"/>
          <w:rtl w:val="0"/>
        </w:rPr>
        <w:t xml:space="preserve"> officieel+legaal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informee</w:t>
      </w:r>
      <w:r w:rsidDel="00000000" w:rsidR="00000000" w:rsidRPr="00000000">
        <w:rPr>
          <w:sz w:val="24"/>
          <w:szCs w:val="24"/>
          <w:rtl w:val="0"/>
        </w:rPr>
        <w:t xml:space="preserve">l: onofficieel+ (vaak illegaal)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2 Beroepsbevolking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Alle mensen die tegen betaling werken + de werklozen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3 groepen landen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Centrumlanden: Meest ontwikkeld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Semiperiferie: Landen die goed op weg zijn in de ontwikkeling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Periferie: arme landen vooral landbouw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welzijn meten: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levensverwachting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koopkracht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alfabetiseringsgraad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sociale ongelijkheid: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Grote verschillen van inkomens tussen groepen mensen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Regionale ongelijkheid: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Grote ongewenste verschillen in ontwikkelingsgraad binnen een land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Oorzaken globalisering: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1. Multinationals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2. grenzen gaan meer open voor de wereldmarkt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3. Meer communicatiemiddelen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grondstof: </w:t>
      </w:r>
      <w:r w:rsidDel="00000000" w:rsidR="00000000" w:rsidRPr="00000000">
        <w:rPr>
          <w:sz w:val="24"/>
          <w:szCs w:val="24"/>
          <w:rtl w:val="0"/>
        </w:rPr>
        <w:t xml:space="preserve">nog niet bewerkte goederen zoals ijzererts of ruwe katoen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Halffabricaat: </w:t>
      </w:r>
      <w:r w:rsidDel="00000000" w:rsidR="00000000" w:rsidRPr="00000000">
        <w:rPr>
          <w:sz w:val="24"/>
          <w:szCs w:val="24"/>
          <w:rtl w:val="0"/>
        </w:rPr>
        <w:t xml:space="preserve">Bewerkte grondstoffen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Eindproduct:</w:t>
      </w:r>
      <w:r w:rsidDel="00000000" w:rsidR="00000000" w:rsidRPr="00000000">
        <w:rPr>
          <w:sz w:val="24"/>
          <w:szCs w:val="24"/>
          <w:rtl w:val="0"/>
        </w:rPr>
        <w:t xml:space="preserve"> dit zijn alle dingen die je koopt in de supermarkt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