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8xi76o93wrcc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Hoofdstuk 1 §2 ‘Economische en politieke bevolkingskenmerken’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Economische kenmerken: belangrijk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Nationaal inkomen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per inwoner: de som van alle inkomsten (hoger, ontwikkelingspeil hoger)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Bruto Binnenlands Product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productie op het grondgebied van dat land plaatsvindt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Bruto Nationaal Product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totale productie van economische goederen ook van dienst in een jaar in geld.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Bij gebruik van BNP zijn volgende dingen belangrijk: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Betrouwbaarheid van de cijfers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Vergelijking is moeilijk door verschil in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koopkracht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(hoeveelheid goederen of producten die je voor een geldbedrag kunt kopen). Hamburgerindex is handig.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Vaak zijn er grote verschillen in inkomen tussen bevolkingsgroepen 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spreiding)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 werkelijke waarde van een munteenheid wijkt soms af van de valuta.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Andere indicator is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beroepsbevolking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mensen tussen 15 en 65 jaar die gemiddeld meer dan 12 uur per week betaald werk verrichten, en de werkzoekenden.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 beroepsbevolking wordt ingedeeld in 3 sectoren. Aandeel in landbouw is vaak indicator voor ontwikkelingspeil.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Primaire sector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landbouw, visserij en mijnbouw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Secundaire sector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werk in bouw en industrie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Tertiaire sector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 dienstensector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Quartaire sector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): bankwezen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 op! Soms zijn de sectoren geen indicator voor het ontwikkelingspeil, zie boek!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 Verenigde Naties gebruiken een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samengestelde variabele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 HDI. Deze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VN-ontwikkelingsindex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wordt samengesteld aan de hand van drie variabelen: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Economisch: gemiddelde inkomen van de bevolking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Demografisch: levensverwachting bij geboorte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Sociaal-cultureel: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analfabetisme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Indelen op politieke kenmerken, politieke omstandigheden zijn van invloed op kwaliteit van leven. Bijvoorbeeld het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democratisch gehalte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van de samenleving: de mate waarin en de manier waarop macht over mensen is verdeeld.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Een manier om dit te meten is het democratisch gehalte. Een eenheid tussen de 0 en de 10. Kenmerken zijn vrije verkiezingen, functioneren van regering, invloed bevolking op politieke besluitvorming, politieke cultuur en mensenrechten.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Corruptie komt veel voor in ontwikkelingslanden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Democratisch gehalte neem toe wanneer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de mensenrechten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meer gerespecteerd worden. Hoe gaat een land om met minderheden?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