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Fictie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Hoe ontstaat er spanning in een film/boek?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probleem →  vragen: Wat gaat hij doen?, En hoe? , Gaat dat lukken?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Hoe nieuwsgieriger hoe spannender het 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Spanningsboog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De tijd die tussen een vraag en antwoord 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schrijver kan er voor zorgen dat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lezer minder weet dan de hoofdpersoon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dat jij meer weet dan de hoofdpersoon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Cliffhanger: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Spannend einde van een aflevering van een televisie-serie waardoor de nieuwsgierigheid naar de volgende aflevering bij de kijker wordt versterkt.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Grammatica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Meewerkend voorwerp (MV)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Vraag: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aan/voor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9900"/>
          <w:sz w:val="24"/>
          <w:szCs w:val="24"/>
          <w:rtl w:val="0"/>
        </w:rPr>
        <w:t xml:space="preserve">wie/wat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color w:val="00ff00"/>
          <w:sz w:val="24"/>
          <w:szCs w:val="24"/>
          <w:rtl w:val="0"/>
        </w:rPr>
        <w:t xml:space="preserve">WG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color w:val="ff00ff"/>
          <w:sz w:val="24"/>
          <w:szCs w:val="24"/>
          <w:rtl w:val="0"/>
        </w:rPr>
        <w:t xml:space="preserve">LV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Ik geef een mooie sjaal </w:t>
      </w:r>
      <w:r w:rsidDel="00000000" w:rsidR="00000000" w:rsidRPr="00000000">
        <w:rPr>
          <w:rFonts w:ascii="Calibri" w:cs="Calibri" w:eastAsia="Calibri" w:hAnsi="Calibri"/>
          <w:color w:val="9900ff"/>
          <w:sz w:val="24"/>
          <w:szCs w:val="24"/>
          <w:rtl w:val="0"/>
        </w:rPr>
        <w:t xml:space="preserve">aan jou.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9900"/>
          <w:sz w:val="24"/>
          <w:szCs w:val="24"/>
          <w:rtl w:val="0"/>
        </w:rPr>
        <w:t xml:space="preserve">wie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ff00"/>
          <w:sz w:val="24"/>
          <w:szCs w:val="24"/>
          <w:rtl w:val="0"/>
        </w:rPr>
        <w:t xml:space="preserve">geef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a86e8"/>
          <w:sz w:val="24"/>
          <w:szCs w:val="24"/>
          <w:rtl w:val="0"/>
        </w:rPr>
        <w:t xml:space="preserve">je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ff"/>
          <w:sz w:val="24"/>
          <w:szCs w:val="24"/>
          <w:rtl w:val="0"/>
        </w:rPr>
        <w:t xml:space="preserve">die mooie sjaal?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Meewerkend voorwerp:  </w:t>
      </w:r>
      <w:r w:rsidDel="00000000" w:rsidR="00000000" w:rsidRPr="00000000">
        <w:rPr>
          <w:rFonts w:ascii="Calibri" w:cs="Calibri" w:eastAsia="Calibri" w:hAnsi="Calibri"/>
          <w:color w:val="9900ff"/>
          <w:sz w:val="24"/>
          <w:szCs w:val="24"/>
          <w:rtl w:val="0"/>
        </w:rPr>
        <w:t xml:space="preserve">aan jou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!Hen is lijdend voorwerp, Hun is meewerkend voorwerp!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Telwoorden</w:t>
      </w:r>
    </w:p>
    <w:tbl>
      <w:tblPr>
        <w:tblStyle w:val="Table1"/>
        <w:bidi w:val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1620"/>
        <w:gridCol w:w="2325"/>
        <w:gridCol w:w="2205"/>
        <w:tblGridChange w:id="0">
          <w:tblGrid>
            <w:gridCol w:w="2850"/>
            <w:gridCol w:w="1620"/>
            <w:gridCol w:w="2325"/>
            <w:gridCol w:w="22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Bepaald hoofdtelwoord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BHTW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exact getal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één, tien, duizend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Onbepaald hoofdtelwoord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OHTW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geen exact getal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weinig, enkele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Bepaald rangtelwoord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BRTW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exacte rangorde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eerste, laatste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Onbepaald rangtelwoord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ORTW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geen exacte rangorde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middelste, zoveelste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Bezittelijk voornaamwoord (BZV)</w:t>
        <w:tab/>
        <w:tab/>
      </w:r>
    </w:p>
    <w:tbl>
      <w:tblPr>
        <w:tblStyle w:val="Table2"/>
        <w:bidi w:val="0"/>
        <w:tblW w:w="4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410"/>
        <w:gridCol w:w="1440"/>
        <w:tblGridChange w:id="0">
          <w:tblGrid>
            <w:gridCol w:w="1425"/>
            <w:gridCol w:w="1410"/>
            <w:gridCol w:w="14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enkelvoud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mijn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enkelvoud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jouw/je, uw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enkelvoud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zijn, haar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meervoud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ons, onze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meervoud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jullie, uw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3e persoon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meervoud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hun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6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50"/>
        <w:gridCol w:w="1920"/>
        <w:gridCol w:w="1785"/>
        <w:tblGridChange w:id="0">
          <w:tblGrid>
            <w:gridCol w:w="2145"/>
            <w:gridCol w:w="750"/>
            <w:gridCol w:w="1920"/>
            <w:gridCol w:w="17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Onvoltooid Tegenwoordige Tijd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O.T.T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werkt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gaat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Onvoltooid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Verleden Tijd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O.V.T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werkte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ging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Voltooid Tegenwoordige Tijd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V.T.T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heeft gewerkt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is gegaan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Voltooid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Verleden Tijd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V.V.T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had gewerkt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Hij was geweest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Spelling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Voltooid deelwoord (VD)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Vorm van Hebben/zijn/worden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Ge/Be/Ver/Ont/her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Achteraan in de zin.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Zwakke WWen eindigen op -t, -d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Sterke WWen eindigen op -en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‘T SeXY FoKSCHaaP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Tegenwoordig deelwoord (TD)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Hele WW + -d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lopen + -d = lopend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!eindigt nooit op een -t!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Bijvoegelijk naamwoord (BN)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De-woorden krijgen altijd woord +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Een-woorden krijgen altijd woord + niks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Het-woorden krijgen altijd woord +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Stoffelijke bn krijgen + -en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5.4 Lezen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Tekstdoel activeren ~ De schrijver wilt de de lezer actie onderneemt.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Tekstdoen overtuigen ~ De schrijver wilt dat de lezer zijn mening overneemt.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Tekstsoort = verzamelnaam voor alle teksten met hetzelfde tekstdoel.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amuserende 2. informatieve 3. betogende 4. activerende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Tekstvorm = de tekst zoals je die daadwerkelijk leest.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Feit = waar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Mening= iets wat iemand vindt.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5.7 Woorden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Afleiding = Combinatie met woord + voor- en/of achtervoegsel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