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64" w:rsidRPr="00515A7E" w:rsidRDefault="006D1899" w:rsidP="006D1899">
      <w:pPr>
        <w:pStyle w:val="Geenafstand"/>
        <w:rPr>
          <w:b/>
          <w:sz w:val="24"/>
        </w:rPr>
      </w:pPr>
      <w:r w:rsidRPr="00515A7E">
        <w:rPr>
          <w:b/>
          <w:sz w:val="24"/>
        </w:rPr>
        <w:t>§7.1 Vermogensmarkt</w:t>
      </w:r>
    </w:p>
    <w:p w:rsidR="006D1899" w:rsidRDefault="006D1899" w:rsidP="006D1899">
      <w:pPr>
        <w:pStyle w:val="Geenafstand"/>
      </w:pPr>
    </w:p>
    <w:p w:rsidR="006D1899" w:rsidRDefault="006D1899" w:rsidP="006D1899">
      <w:pPr>
        <w:pStyle w:val="Geenafstand"/>
      </w:pPr>
      <w:r>
        <w:rPr>
          <w:color w:val="FF0000"/>
        </w:rPr>
        <w:t xml:space="preserve">Vermogensmarkt </w:t>
      </w:r>
      <w:r>
        <w:t>het geheel van vraag naar en aanbod van vermogen</w:t>
      </w:r>
    </w:p>
    <w:p w:rsidR="006D1899" w:rsidRDefault="006D1899" w:rsidP="006D1899">
      <w:pPr>
        <w:pStyle w:val="Geenafstand"/>
      </w:pPr>
    </w:p>
    <w:p w:rsidR="006D1899" w:rsidRDefault="006D1899" w:rsidP="006D1899">
      <w:pPr>
        <w:pStyle w:val="Geenafstand"/>
      </w:pPr>
      <w:r>
        <w:t>Vragers op de vermogensmarkt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>Bedrijven en niet-commerciële organisaties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>Banken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>Overheid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>Gezinnen</w:t>
      </w:r>
    </w:p>
    <w:p w:rsidR="006D1899" w:rsidRDefault="006D1899" w:rsidP="006D1899">
      <w:pPr>
        <w:pStyle w:val="Geenafstand"/>
        <w:ind w:left="720"/>
      </w:pPr>
    </w:p>
    <w:p w:rsidR="006D1899" w:rsidRDefault="006D1899" w:rsidP="006D1899">
      <w:pPr>
        <w:pStyle w:val="Geenafstand"/>
      </w:pPr>
      <w:r>
        <w:t>Aanbieders op de vermogensmarkt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>Bedrijven en niet-commerciële organisaties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>Banken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>Overheid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>Gezinnen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t xml:space="preserve">Institutionele beleggers (pensioenfondsen, verzekeringsmaatschappijen </w:t>
      </w:r>
      <w:proofErr w:type="spellStart"/>
      <w:r>
        <w:t>etc</w:t>
      </w:r>
      <w:proofErr w:type="spellEnd"/>
      <w:r>
        <w:t>)</w:t>
      </w:r>
    </w:p>
    <w:p w:rsidR="006D1899" w:rsidRDefault="006D1899" w:rsidP="006D1899">
      <w:pPr>
        <w:pStyle w:val="Geenafstand"/>
      </w:pPr>
    </w:p>
    <w:p w:rsidR="006D1899" w:rsidRDefault="006D1899" w:rsidP="006D1899">
      <w:pPr>
        <w:pStyle w:val="Geenafstand"/>
      </w:pPr>
      <w:r>
        <w:t xml:space="preserve">Deelmarkten vermogensmarkt </w:t>
      </w:r>
    </w:p>
    <w:p w:rsidR="006D1899" w:rsidRPr="006D1899" w:rsidRDefault="006D1899" w:rsidP="006D1899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Kapitaalmarkt </w:t>
      </w:r>
      <w:r>
        <w:t>(looptijd &gt;2 jaar)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Geldmarkt </w:t>
      </w:r>
      <w:r>
        <w:t>(looptijd &lt;2 jaar)</w:t>
      </w:r>
    </w:p>
    <w:p w:rsidR="006D1899" w:rsidRDefault="006D1899" w:rsidP="006D1899">
      <w:pPr>
        <w:pStyle w:val="Geenafstand"/>
      </w:pPr>
    </w:p>
    <w:p w:rsidR="006D1899" w:rsidRPr="00515A7E" w:rsidRDefault="006D1899" w:rsidP="006D1899">
      <w:pPr>
        <w:pStyle w:val="Geenafstand"/>
        <w:rPr>
          <w:b/>
          <w:sz w:val="24"/>
        </w:rPr>
      </w:pPr>
      <w:r w:rsidRPr="00515A7E">
        <w:rPr>
          <w:b/>
          <w:sz w:val="24"/>
        </w:rPr>
        <w:t>§ 7.2 Kapitaalmarkt</w:t>
      </w:r>
    </w:p>
    <w:p w:rsidR="006D1899" w:rsidRDefault="006D1899" w:rsidP="006D1899">
      <w:pPr>
        <w:pStyle w:val="Geenafstand"/>
      </w:pPr>
    </w:p>
    <w:p w:rsidR="006D1899" w:rsidRDefault="006D1899" w:rsidP="006D1899">
      <w:pPr>
        <w:pStyle w:val="Geenafstand"/>
      </w:pPr>
      <w:r>
        <w:rPr>
          <w:color w:val="FF0000"/>
        </w:rPr>
        <w:t xml:space="preserve">Kapitaalmarkt </w:t>
      </w:r>
      <w:r>
        <w:t>de totale vraag naar en het totale aanbod van financieringsmiddelen met een looptijd langer dan 2 jaar.</w:t>
      </w:r>
    </w:p>
    <w:p w:rsidR="006D1899" w:rsidRDefault="006D1899" w:rsidP="006D1899">
      <w:pPr>
        <w:pStyle w:val="Geenafstand"/>
      </w:pPr>
    </w:p>
    <w:p w:rsidR="006D1899" w:rsidRDefault="006D1899" w:rsidP="006D1899">
      <w:pPr>
        <w:pStyle w:val="Geenafstand"/>
      </w:pPr>
      <w:r>
        <w:t>Belangrijke financieringsmogelijkheden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Aandelen </w:t>
      </w:r>
      <w:r>
        <w:t>bewijs van deelnemen in eigen vermogen van een bedrijf</w:t>
      </w:r>
    </w:p>
    <w:p w:rsidR="006D1899" w:rsidRDefault="006D1899" w:rsidP="006D1899">
      <w:pPr>
        <w:pStyle w:val="Geenafstand"/>
        <w:ind w:left="720" w:firstLine="696"/>
      </w:pPr>
      <w:r>
        <w:rPr>
          <w:noProof/>
          <w:lang w:eastAsia="nl-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6.65pt;margin-top:4.65pt;width:38.25pt;height:30pt;z-index:251658240"/>
        </w:pict>
      </w:r>
      <w:r>
        <w:t>Zeggenschap in bedrijf</w:t>
      </w:r>
    </w:p>
    <w:p w:rsidR="006D1899" w:rsidRDefault="006D1899" w:rsidP="006D1899">
      <w:pPr>
        <w:pStyle w:val="Geenafstand"/>
        <w:ind w:left="720" w:firstLine="696"/>
      </w:pPr>
      <w:r>
        <w:t>Winst (</w:t>
      </w:r>
      <w:r w:rsidRPr="006D1899">
        <w:rPr>
          <w:color w:val="FF0000"/>
        </w:rPr>
        <w:t>dividend</w:t>
      </w:r>
      <w:r>
        <w:t>) ontvangen</w:t>
      </w:r>
    </w:p>
    <w:p w:rsidR="006D1899" w:rsidRDefault="006D1899" w:rsidP="006D1899">
      <w:pPr>
        <w:pStyle w:val="Geenafstand"/>
        <w:ind w:left="720" w:firstLine="696"/>
      </w:pPr>
      <w:r>
        <w:t>Aandelen kun je later weer verkopen met winst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Obligatielening </w:t>
      </w:r>
      <w:r>
        <w:t>langlopende lening verdeeld in kleine delen (obligaties)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Onderhandse lening </w:t>
      </w:r>
      <w:r>
        <w:t>langlopende lening tussen één geldlener en één geldgever</w:t>
      </w:r>
    </w:p>
    <w:p w:rsidR="006D1899" w:rsidRDefault="006D1899" w:rsidP="006D1899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Hypothecaire lening </w:t>
      </w:r>
      <w:r>
        <w:t>lening met registergoed of onroerende zaak als onderpand</w:t>
      </w:r>
    </w:p>
    <w:p w:rsidR="006D1899" w:rsidRDefault="006D1899" w:rsidP="006D1899">
      <w:pPr>
        <w:pStyle w:val="Geenafstand"/>
      </w:pPr>
    </w:p>
    <w:p w:rsidR="00B71E2F" w:rsidRDefault="00B71E2F" w:rsidP="006D1899">
      <w:pPr>
        <w:pStyle w:val="Geenafstand"/>
      </w:pPr>
      <w:r w:rsidRPr="00B71E2F">
        <w:rPr>
          <w:color w:val="FF0000"/>
        </w:rPr>
        <w:t xml:space="preserve">Financieringskosten </w:t>
      </w:r>
      <w:r>
        <w:t xml:space="preserve">kosten die samenhangen met het aantrekken van geld (bijv. </w:t>
      </w:r>
      <w:proofErr w:type="gramStart"/>
      <w:r>
        <w:t>interest</w:t>
      </w:r>
      <w:proofErr w:type="gramEnd"/>
      <w:r>
        <w:t xml:space="preserve">, emissiekosten, administratiekosten, afsluitingsprovisie etc. </w:t>
      </w:r>
    </w:p>
    <w:p w:rsidR="00B71E2F" w:rsidRPr="00515A7E" w:rsidRDefault="00B71E2F" w:rsidP="006D1899">
      <w:pPr>
        <w:pStyle w:val="Geenafstand"/>
        <w:rPr>
          <w:b/>
          <w:sz w:val="24"/>
        </w:rPr>
      </w:pPr>
    </w:p>
    <w:p w:rsidR="00B71E2F" w:rsidRPr="00515A7E" w:rsidRDefault="00B71E2F" w:rsidP="006D1899">
      <w:pPr>
        <w:pStyle w:val="Geenafstand"/>
        <w:rPr>
          <w:b/>
          <w:sz w:val="24"/>
        </w:rPr>
      </w:pPr>
      <w:r w:rsidRPr="00515A7E">
        <w:rPr>
          <w:b/>
          <w:sz w:val="24"/>
        </w:rPr>
        <w:t>§7.3 Effectenbeurs</w:t>
      </w:r>
    </w:p>
    <w:p w:rsidR="00B71E2F" w:rsidRDefault="00B71E2F" w:rsidP="006D1899">
      <w:pPr>
        <w:pStyle w:val="Geenafstand"/>
      </w:pPr>
    </w:p>
    <w:p w:rsidR="00B71E2F" w:rsidRDefault="00B71E2F" w:rsidP="006D1899">
      <w:pPr>
        <w:pStyle w:val="Geenafstand"/>
      </w:pPr>
      <w:r>
        <w:t>Amsterdamse effectenbeurs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t>VOC voorloper effectenbeurs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t>1611 eerste effectenbeurs geopend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t>Op effectenbeurs worden waardepapieren verhandeld (bijv. aandelen, obligaties etc.)</w:t>
      </w:r>
    </w:p>
    <w:p w:rsidR="00B71E2F" w:rsidRDefault="00B71E2F" w:rsidP="00B71E2F">
      <w:pPr>
        <w:pStyle w:val="Geenafstand"/>
      </w:pPr>
    </w:p>
    <w:p w:rsidR="00B71E2F" w:rsidRDefault="00B71E2F" w:rsidP="00B71E2F">
      <w:pPr>
        <w:pStyle w:val="Geenafstand"/>
      </w:pPr>
      <w:r>
        <w:rPr>
          <w:color w:val="FF0000"/>
        </w:rPr>
        <w:t xml:space="preserve">Derivaten </w:t>
      </w:r>
      <w:r>
        <w:t>effecten die zijn afgeleid van andere effecten</w:t>
      </w:r>
    </w:p>
    <w:p w:rsidR="00B71E2F" w:rsidRDefault="00B71E2F" w:rsidP="00530A57">
      <w:pPr>
        <w:pStyle w:val="Geenafstand"/>
        <w:numPr>
          <w:ilvl w:val="0"/>
          <w:numId w:val="2"/>
        </w:numPr>
      </w:pPr>
      <w:r>
        <w:rPr>
          <w:color w:val="FF0000"/>
        </w:rPr>
        <w:t xml:space="preserve">Optie </w:t>
      </w:r>
      <w:r>
        <w:t>geeft aandeelhouder recht om op een bepaald moment een bepaald aantal aandelen tegen een van</w:t>
      </w:r>
      <w:r w:rsidR="00530A57">
        <w:t xml:space="preserve"> </w:t>
      </w:r>
      <w:r>
        <w:t>tevoren overeengekomen prijs te kopen (</w:t>
      </w:r>
      <w:r>
        <w:rPr>
          <w:color w:val="FF0000"/>
        </w:rPr>
        <w:t>callopties</w:t>
      </w:r>
      <w:r>
        <w:t>) of te verkopen (</w:t>
      </w:r>
      <w:r>
        <w:rPr>
          <w:color w:val="FF0000"/>
        </w:rPr>
        <w:t>putopties</w:t>
      </w:r>
      <w:r>
        <w:t>)</w:t>
      </w:r>
    </w:p>
    <w:p w:rsidR="00B71E2F" w:rsidRDefault="00B71E2F" w:rsidP="00B71E2F">
      <w:pPr>
        <w:pStyle w:val="Geenafstand"/>
      </w:pPr>
    </w:p>
    <w:p w:rsidR="00530A57" w:rsidRDefault="00530A57" w:rsidP="00B71E2F">
      <w:pPr>
        <w:pStyle w:val="Geenafstand"/>
      </w:pPr>
    </w:p>
    <w:p w:rsidR="00530A57" w:rsidRDefault="00530A57" w:rsidP="00B71E2F">
      <w:pPr>
        <w:pStyle w:val="Geenafstand"/>
      </w:pPr>
    </w:p>
    <w:p w:rsidR="00530A57" w:rsidRDefault="00530A57" w:rsidP="00B71E2F">
      <w:pPr>
        <w:pStyle w:val="Geenafstand"/>
      </w:pPr>
    </w:p>
    <w:p w:rsidR="00B71E2F" w:rsidRDefault="00B71E2F" w:rsidP="00B71E2F">
      <w:pPr>
        <w:pStyle w:val="Geenafstand"/>
      </w:pPr>
      <w:r>
        <w:t>Techniek van de beurshandel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t xml:space="preserve">Effecten kun je niet zelf op een beurs kopen, dat gaat via de bank. 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rPr>
          <w:color w:val="FF0000"/>
        </w:rPr>
        <w:t>Bestensorder</w:t>
      </w:r>
      <w:r>
        <w:t xml:space="preserve"> koopt of verkoopt een aandeel tegen de eerstvolgende beurskoers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t>(</w:t>
      </w:r>
      <w:r>
        <w:rPr>
          <w:color w:val="FF0000"/>
        </w:rPr>
        <w:t xml:space="preserve">beurskoers </w:t>
      </w:r>
      <w:r>
        <w:t>prijs die je moet betalen voor een aandeel of obligatie op de effectenbeurs)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Limietorder </w:t>
      </w:r>
      <w:r>
        <w:t>je geeft bij een kooporder een koersgrens waarboven en een koersgrens waaronder niet tot uitvoering van order mag worden overgegaan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t xml:space="preserve">Bij uitvoering worden </w:t>
      </w:r>
      <w:r w:rsidRPr="00B71E2F">
        <w:rPr>
          <w:color w:val="FF0000"/>
        </w:rPr>
        <w:t>transactiekosten</w:t>
      </w:r>
      <w:r>
        <w:t xml:space="preserve"> gereken door de bank </w:t>
      </w:r>
    </w:p>
    <w:p w:rsidR="00B71E2F" w:rsidRDefault="00B71E2F" w:rsidP="00B71E2F">
      <w:pPr>
        <w:pStyle w:val="Geenafstand"/>
      </w:pPr>
    </w:p>
    <w:p w:rsidR="00B71E2F" w:rsidRDefault="00B71E2F" w:rsidP="00B71E2F">
      <w:pPr>
        <w:pStyle w:val="Geenafstand"/>
      </w:pPr>
      <w:r>
        <w:t>Koersschommelingen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t>Veel vraag/weinig aanbod → koers stijgt</w:t>
      </w:r>
    </w:p>
    <w:p w:rsidR="00B71E2F" w:rsidRDefault="00B71E2F" w:rsidP="00B71E2F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Koerswinst </w:t>
      </w:r>
      <w:r>
        <w:t>wanneer de verkoopkoers hoger ligt dan de aankoopkoers</w:t>
      </w:r>
    </w:p>
    <w:p w:rsidR="001E704E" w:rsidRDefault="00B71E2F" w:rsidP="00B71E2F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Speculanten </w:t>
      </w:r>
      <w:r>
        <w:t>mensen die aandelen tegen lage koers kopen en later legen hogere koers weer verkopen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Aandelenarbitrage </w:t>
      </w:r>
      <w:r>
        <w:t>profiteren van koersverschil op internationale beursen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t>Obligatiekoersen schommelen minder sterk dan die van aandelen</w:t>
      </w:r>
    </w:p>
    <w:p w:rsidR="001E704E" w:rsidRDefault="001E704E" w:rsidP="001E704E">
      <w:pPr>
        <w:pStyle w:val="Geenafstand"/>
      </w:pPr>
    </w:p>
    <w:p w:rsidR="001E704E" w:rsidRDefault="001E704E" w:rsidP="001E704E">
      <w:pPr>
        <w:pStyle w:val="Geenafstand"/>
      </w:pPr>
      <w:r>
        <w:t>De AEX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t>Graadmeter van de beurs</w:t>
      </w:r>
    </w:p>
    <w:p w:rsidR="00B71E2F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Amsterdamse Exchange Index (AEX) </w:t>
      </w:r>
      <w:r>
        <w:t xml:space="preserve">gewogen gemiddelden van de koersen van de totale naar de beurswaarde gemeten 25 belangrijkste aandelen van nv’s. </w:t>
      </w:r>
    </w:p>
    <w:p w:rsidR="001E704E" w:rsidRDefault="001E704E" w:rsidP="001E704E">
      <w:pPr>
        <w:pStyle w:val="Geenafstand"/>
      </w:pPr>
      <w:r>
        <w:rPr>
          <w:noProof/>
          <w:lang w:eastAsia="nl-NL"/>
        </w:rPr>
        <w:pict>
          <v:roundrect id="_x0000_s1027" style="position:absolute;margin-left:33.4pt;margin-top:6.9pt;width:257.25pt;height:21pt;z-index:251659264" arcsize="10923f" strokecolor="#00b0f0">
            <v:textbox>
              <w:txbxContent>
                <w:p w:rsidR="000E5950" w:rsidRDefault="000E5950">
                  <w:r>
                    <w:t>Beurswaarde = verhandelbare aandelen x beurskoers</w:t>
                  </w:r>
                </w:p>
              </w:txbxContent>
            </v:textbox>
          </v:roundrect>
        </w:pict>
      </w:r>
    </w:p>
    <w:p w:rsidR="001E704E" w:rsidRPr="00B71E2F" w:rsidRDefault="001E704E" w:rsidP="001E704E">
      <w:pPr>
        <w:pStyle w:val="Geenafstand"/>
      </w:pPr>
    </w:p>
    <w:p w:rsidR="001E704E" w:rsidRDefault="001E704E" w:rsidP="006D1899">
      <w:pPr>
        <w:pStyle w:val="Geenafstand"/>
        <w:ind w:left="720"/>
      </w:pPr>
    </w:p>
    <w:p w:rsidR="001E704E" w:rsidRDefault="001E704E" w:rsidP="001E704E">
      <w:pPr>
        <w:pStyle w:val="Geenafstand"/>
      </w:pPr>
      <w:r>
        <w:t>Handel met voorkennis verboden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Moreel wangedrag </w:t>
      </w:r>
      <w:r>
        <w:t>verboden volgens wet op financieel toezicht (WFT)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Autoriteit Financiële markten (AFM) </w:t>
      </w:r>
      <w:r>
        <w:t xml:space="preserve">controleert dit </w:t>
      </w:r>
    </w:p>
    <w:p w:rsidR="001E704E" w:rsidRDefault="001E704E" w:rsidP="001E704E">
      <w:pPr>
        <w:pStyle w:val="Geenafstand"/>
      </w:pPr>
    </w:p>
    <w:p w:rsidR="001E704E" w:rsidRPr="00515A7E" w:rsidRDefault="001E704E" w:rsidP="001E704E">
      <w:pPr>
        <w:pStyle w:val="Geenafstand"/>
        <w:rPr>
          <w:b/>
          <w:sz w:val="24"/>
        </w:rPr>
      </w:pPr>
      <w:r w:rsidRPr="00515A7E">
        <w:rPr>
          <w:b/>
          <w:sz w:val="24"/>
        </w:rPr>
        <w:t xml:space="preserve">§7.4 Geldmarkt </w:t>
      </w:r>
    </w:p>
    <w:p w:rsidR="001E704E" w:rsidRDefault="001E704E" w:rsidP="001E704E">
      <w:pPr>
        <w:pStyle w:val="Geenafstand"/>
      </w:pPr>
    </w:p>
    <w:p w:rsidR="001E704E" w:rsidRDefault="001E704E" w:rsidP="001E704E">
      <w:pPr>
        <w:pStyle w:val="Geenafstand"/>
      </w:pPr>
      <w:r>
        <w:rPr>
          <w:color w:val="FF0000"/>
        </w:rPr>
        <w:t xml:space="preserve">Geldmarkt </w:t>
      </w:r>
      <w:r>
        <w:t>totale vraag naar en aanbod van vermogen met looptijd korter dan 2 jaar</w:t>
      </w:r>
    </w:p>
    <w:p w:rsidR="001E704E" w:rsidRDefault="001E704E" w:rsidP="001E704E">
      <w:pPr>
        <w:pStyle w:val="Geenafstand"/>
      </w:pPr>
    </w:p>
    <w:p w:rsidR="001E704E" w:rsidRDefault="001E704E" w:rsidP="001E704E">
      <w:pPr>
        <w:pStyle w:val="Geenafstand"/>
      </w:pPr>
      <w:r>
        <w:t>Voorbeelden van korte kredieten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Rekening-courant krediet </w:t>
      </w:r>
      <w:r>
        <w:t>rood staan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Leverancierskrediet </w:t>
      </w:r>
      <w:r>
        <w:t>producten zijn geleverd, de klant betaalt later</w:t>
      </w:r>
    </w:p>
    <w:p w:rsidR="001E704E" w:rsidRDefault="001E704E" w:rsidP="00530A57">
      <w:pPr>
        <w:pStyle w:val="Geenafstand"/>
        <w:numPr>
          <w:ilvl w:val="0"/>
          <w:numId w:val="4"/>
        </w:numPr>
      </w:pPr>
      <w:r>
        <w:rPr>
          <w:color w:val="FF0000"/>
        </w:rPr>
        <w:t xml:space="preserve">Factormaatschappij </w:t>
      </w:r>
      <w:r>
        <w:t xml:space="preserve">bedrijft die het innen van </w:t>
      </w:r>
      <w:proofErr w:type="spellStart"/>
      <w:r>
        <w:t>openstaanden</w:t>
      </w:r>
      <w:proofErr w:type="spellEnd"/>
      <w:r>
        <w:t xml:space="preserve"> vorderingen overneemt. Zij betalen het bedrijf → innen het geld van de wanbetaler → beloning is de procentuele vordering 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Afnemerskrediet </w:t>
      </w:r>
      <w:r>
        <w:t xml:space="preserve">de klant </w:t>
      </w:r>
      <w:proofErr w:type="gramStart"/>
      <w:r>
        <w:t>betaald</w:t>
      </w:r>
      <w:proofErr w:type="gramEnd"/>
      <w:r>
        <w:t xml:space="preserve"> eest, er wordt pas later geleverd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Persoonlijke lening </w:t>
      </w:r>
      <w:r>
        <w:t>lening voor consumptieve uigaven (bijv. laptop)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Doorlopend krediet </w:t>
      </w:r>
      <w:r>
        <w:t>lening met budget die elk moment kan worden gebruikt zolang het kredietplafond nog niet is bereikt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Koop op afbetaling </w:t>
      </w:r>
      <w:r>
        <w:t>betaling in termijnen, je bent direct eigenaar van je product</w:t>
      </w:r>
    </w:p>
    <w:p w:rsidR="001E704E" w:rsidRDefault="001E704E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Huurkoop </w:t>
      </w:r>
      <w:r w:rsidR="00B15385">
        <w:t>betaling in termijnen, eigenaar na betaling laatste termijn</w:t>
      </w:r>
    </w:p>
    <w:p w:rsidR="00B15385" w:rsidRDefault="00B15385" w:rsidP="001E704E">
      <w:pPr>
        <w:pStyle w:val="Geenafstand"/>
        <w:numPr>
          <w:ilvl w:val="0"/>
          <w:numId w:val="1"/>
        </w:numPr>
      </w:pPr>
      <w:r>
        <w:rPr>
          <w:color w:val="FF0000"/>
        </w:rPr>
        <w:t xml:space="preserve">Leasing </w:t>
      </w:r>
      <w:r>
        <w:t xml:space="preserve">(ver)huur duurzame goederen </w:t>
      </w:r>
    </w:p>
    <w:p w:rsidR="00B15385" w:rsidRPr="00B15385" w:rsidRDefault="00B15385" w:rsidP="00B15385">
      <w:pPr>
        <w:pStyle w:val="Geenafstand"/>
      </w:pPr>
      <w:r>
        <w:t xml:space="preserve">Voor alle bovenstaande opties zijn </w:t>
      </w:r>
      <w:r>
        <w:rPr>
          <w:color w:val="FF0000"/>
        </w:rPr>
        <w:t xml:space="preserve">financieringskosten </w:t>
      </w:r>
    </w:p>
    <w:p w:rsidR="001E704E" w:rsidRDefault="001E704E" w:rsidP="001E704E"/>
    <w:p w:rsidR="00530A57" w:rsidRDefault="00530A57" w:rsidP="001E704E"/>
    <w:p w:rsidR="00530A57" w:rsidRDefault="00530A57" w:rsidP="001E704E"/>
    <w:p w:rsidR="00530A57" w:rsidRDefault="00530A57" w:rsidP="001E704E"/>
    <w:p w:rsidR="00B15385" w:rsidRPr="00515A7E" w:rsidRDefault="00B15385" w:rsidP="001E704E">
      <w:pPr>
        <w:rPr>
          <w:b/>
          <w:sz w:val="24"/>
        </w:rPr>
      </w:pPr>
      <w:r w:rsidRPr="00515A7E">
        <w:rPr>
          <w:b/>
          <w:sz w:val="24"/>
        </w:rPr>
        <w:t>§7.5 Openbaar/onderhands vermogen</w:t>
      </w:r>
    </w:p>
    <w:p w:rsidR="00530A57" w:rsidRDefault="00530A57" w:rsidP="00530A57">
      <w:pPr>
        <w:pStyle w:val="Geenafstand"/>
      </w:pPr>
      <w:r>
        <w:t>Openbaar vermogen</w:t>
      </w:r>
    </w:p>
    <w:p w:rsidR="00530A57" w:rsidRDefault="00530A57" w:rsidP="00530A57">
      <w:pPr>
        <w:pStyle w:val="Geenafstand"/>
        <w:numPr>
          <w:ilvl w:val="0"/>
          <w:numId w:val="1"/>
        </w:numPr>
      </w:pPr>
      <w:r>
        <w:t>Iedereen mag/kan deelnemen</w:t>
      </w:r>
    </w:p>
    <w:p w:rsidR="00530A57" w:rsidRDefault="00530A57" w:rsidP="00530A57">
      <w:pPr>
        <w:pStyle w:val="Geenafstand"/>
        <w:numPr>
          <w:ilvl w:val="1"/>
          <w:numId w:val="3"/>
        </w:numPr>
      </w:pPr>
      <w:r>
        <w:t>Aandelen</w:t>
      </w:r>
    </w:p>
    <w:p w:rsidR="00530A57" w:rsidRDefault="00530A57" w:rsidP="00530A57">
      <w:pPr>
        <w:pStyle w:val="Geenafstand"/>
        <w:numPr>
          <w:ilvl w:val="1"/>
          <w:numId w:val="3"/>
        </w:numPr>
      </w:pPr>
      <w:r>
        <w:t>Obligaties</w:t>
      </w:r>
    </w:p>
    <w:p w:rsidR="00530A57" w:rsidRDefault="00530A57" w:rsidP="00530A57">
      <w:pPr>
        <w:pStyle w:val="Geenafstand"/>
        <w:numPr>
          <w:ilvl w:val="0"/>
          <w:numId w:val="3"/>
        </w:numPr>
      </w:pPr>
      <w:r>
        <w:rPr>
          <w:color w:val="FF0000"/>
        </w:rPr>
        <w:t xml:space="preserve">Beursgenoteerd aandeel </w:t>
      </w:r>
      <w:r>
        <w:t>deelnemen in het eigen vermogen van een nv, waarvan aandelen worden verhandeld op de effectenbeurs. De aandeelhouder heeft recht op een deel van de winst (dividend)</w:t>
      </w:r>
    </w:p>
    <w:p w:rsidR="00530A57" w:rsidRDefault="00530A57" w:rsidP="00530A57">
      <w:pPr>
        <w:pStyle w:val="Geenafstand"/>
        <w:numPr>
          <w:ilvl w:val="0"/>
          <w:numId w:val="3"/>
        </w:numPr>
      </w:pPr>
      <w:r>
        <w:rPr>
          <w:color w:val="FF0000"/>
        </w:rPr>
        <w:t xml:space="preserve">Beursgenoteerde obligatie </w:t>
      </w:r>
      <w:r>
        <w:t xml:space="preserve">je neemt deel van een obligatielening van een bedrijf of van de overheid. </w:t>
      </w:r>
    </w:p>
    <w:p w:rsidR="00530A57" w:rsidRDefault="00530A57" w:rsidP="00530A57">
      <w:pPr>
        <w:pStyle w:val="Geenafstand"/>
        <w:numPr>
          <w:ilvl w:val="1"/>
          <w:numId w:val="3"/>
        </w:numPr>
      </w:pPr>
      <w:r>
        <w:t xml:space="preserve">hoge emissiekosten </w:t>
      </w:r>
    </w:p>
    <w:p w:rsidR="00530A57" w:rsidRDefault="00530A57" w:rsidP="00530A57">
      <w:pPr>
        <w:pStyle w:val="Geenafstand"/>
      </w:pPr>
    </w:p>
    <w:p w:rsidR="00530A57" w:rsidRDefault="00530A57" w:rsidP="00530A57">
      <w:pPr>
        <w:pStyle w:val="Geenafstand"/>
      </w:pPr>
      <w:r>
        <w:t xml:space="preserve">Onderhands vermogen </w:t>
      </w:r>
    </w:p>
    <w:p w:rsidR="00530A57" w:rsidRDefault="00530A57" w:rsidP="00530A57">
      <w:pPr>
        <w:pStyle w:val="Geenafstand"/>
        <w:numPr>
          <w:ilvl w:val="0"/>
          <w:numId w:val="3"/>
        </w:numPr>
      </w:pPr>
      <w:r>
        <w:t>één geldlener en één geldgever</w:t>
      </w:r>
    </w:p>
    <w:p w:rsidR="00530A57" w:rsidRDefault="00530A57" w:rsidP="00530A57">
      <w:pPr>
        <w:pStyle w:val="Geenafstand"/>
        <w:numPr>
          <w:ilvl w:val="0"/>
          <w:numId w:val="3"/>
        </w:numPr>
      </w:pPr>
      <w:r>
        <w:t>niet openbaar</w:t>
      </w:r>
    </w:p>
    <w:p w:rsidR="00530A57" w:rsidRDefault="00530A57" w:rsidP="00530A57">
      <w:pPr>
        <w:pStyle w:val="Geenafstand"/>
        <w:numPr>
          <w:ilvl w:val="0"/>
          <w:numId w:val="3"/>
        </w:numPr>
      </w:pPr>
      <w:r>
        <w:t>lage emissiekosten</w:t>
      </w:r>
    </w:p>
    <w:p w:rsidR="00530A57" w:rsidRDefault="00530A57" w:rsidP="00530A57">
      <w:pPr>
        <w:pStyle w:val="Geenafstand"/>
        <w:numPr>
          <w:ilvl w:val="0"/>
          <w:numId w:val="3"/>
        </w:numPr>
      </w:pPr>
      <w:r>
        <w:t>vaak hogere rente</w:t>
      </w:r>
    </w:p>
    <w:p w:rsidR="00530A57" w:rsidRDefault="00530A57" w:rsidP="00530A57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530A57" w:rsidTr="00530A57">
        <w:tc>
          <w:tcPr>
            <w:tcW w:w="4606" w:type="dxa"/>
          </w:tcPr>
          <w:p w:rsidR="00530A57" w:rsidRPr="00530A57" w:rsidRDefault="00530A57" w:rsidP="00530A5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Openbaar vermogen</w:t>
            </w:r>
          </w:p>
        </w:tc>
        <w:tc>
          <w:tcPr>
            <w:tcW w:w="4606" w:type="dxa"/>
          </w:tcPr>
          <w:p w:rsidR="00530A57" w:rsidRPr="00530A57" w:rsidRDefault="00530A57" w:rsidP="00530A57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Onderhands vermogen</w:t>
            </w:r>
          </w:p>
        </w:tc>
      </w:tr>
      <w:tr w:rsidR="00530A57" w:rsidTr="00530A57"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Goed verhandelbaar</w:t>
            </w:r>
          </w:p>
        </w:tc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Slecht verhandelbaar</w:t>
            </w:r>
          </w:p>
        </w:tc>
      </w:tr>
      <w:tr w:rsidR="00530A57" w:rsidTr="00530A57"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Er kan meer geld aangetrokken worden</w:t>
            </w:r>
          </w:p>
        </w:tc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Er kan slechts minder geld worden aangetrokken</w:t>
            </w:r>
          </w:p>
        </w:tc>
      </w:tr>
      <w:tr w:rsidR="00530A57" w:rsidTr="00530A57"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Hoge emissiekosten</w:t>
            </w:r>
          </w:p>
        </w:tc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Relatief lage kosten</w:t>
            </w:r>
          </w:p>
        </w:tc>
      </w:tr>
      <w:tr w:rsidR="00530A57" w:rsidTr="00530A57"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Je kunt de geldgever niet zelf kiezen</w:t>
            </w:r>
          </w:p>
        </w:tc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Je kunt de geldgever zelf kiezen</w:t>
            </w:r>
          </w:p>
        </w:tc>
      </w:tr>
      <w:tr w:rsidR="00530A57" w:rsidTr="00530A57"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>Er valt niet te onderhandelen over de voorwaarden</w:t>
            </w:r>
          </w:p>
        </w:tc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 xml:space="preserve">Over de voorwaarden is te onderhandelen </w:t>
            </w:r>
          </w:p>
        </w:tc>
      </w:tr>
      <w:tr w:rsidR="00530A57" w:rsidTr="00530A57">
        <w:tc>
          <w:tcPr>
            <w:tcW w:w="4606" w:type="dxa"/>
          </w:tcPr>
          <w:p w:rsidR="00530A57" w:rsidRDefault="00530A57" w:rsidP="00530A57">
            <w:pPr>
              <w:pStyle w:val="Geenafstand"/>
            </w:pPr>
            <w:r>
              <w:t xml:space="preserve">Emissie kost veel tijd </w:t>
            </w:r>
          </w:p>
        </w:tc>
        <w:tc>
          <w:tcPr>
            <w:tcW w:w="4606" w:type="dxa"/>
          </w:tcPr>
          <w:p w:rsidR="00530A57" w:rsidRDefault="00530A57" w:rsidP="00530A57">
            <w:pPr>
              <w:pStyle w:val="Geenafstand"/>
            </w:pPr>
          </w:p>
        </w:tc>
      </w:tr>
    </w:tbl>
    <w:p w:rsidR="00530A57" w:rsidRDefault="00530A57" w:rsidP="00530A57">
      <w:pPr>
        <w:pStyle w:val="Geenafstand"/>
      </w:pPr>
    </w:p>
    <w:p w:rsidR="00515A7E" w:rsidRDefault="00515A7E" w:rsidP="00530A57">
      <w:pPr>
        <w:pStyle w:val="Geenafstand"/>
        <w:rPr>
          <w:b/>
          <w:sz w:val="24"/>
        </w:rPr>
      </w:pPr>
      <w:r w:rsidRPr="00515A7E">
        <w:rPr>
          <w:b/>
          <w:sz w:val="24"/>
        </w:rPr>
        <w:t xml:space="preserve">§9.1 Enkelvoudige en samengestelde interest </w:t>
      </w:r>
    </w:p>
    <w:p w:rsidR="00515A7E" w:rsidRDefault="00515A7E" w:rsidP="00530A57">
      <w:pPr>
        <w:pStyle w:val="Geenafstand"/>
      </w:pPr>
    </w:p>
    <w:p w:rsidR="00515A7E" w:rsidRDefault="00515A7E" w:rsidP="00530A57">
      <w:pPr>
        <w:pStyle w:val="Geenafstand"/>
      </w:pPr>
      <w:r>
        <w:rPr>
          <w:color w:val="FF0000"/>
        </w:rPr>
        <w:t xml:space="preserve">Interest </w:t>
      </w:r>
      <w:r>
        <w:t>de vergoeding voor het tijdelijk beschikbaar stellen van geld</w:t>
      </w:r>
    </w:p>
    <w:p w:rsidR="00515A7E" w:rsidRDefault="00515A7E" w:rsidP="00530A57">
      <w:pPr>
        <w:pStyle w:val="Geenafstand"/>
      </w:pPr>
      <w:r>
        <w:rPr>
          <w:color w:val="FF0000"/>
        </w:rPr>
        <w:t xml:space="preserve">Enkelvoudige interest </w:t>
      </w:r>
      <w:r>
        <w:t xml:space="preserve">als de interest uitsluitend wordt berekend over het oorspronkelijk gestorte bedrag </w:t>
      </w:r>
    </w:p>
    <w:p w:rsidR="00515A7E" w:rsidRDefault="00515A7E" w:rsidP="00515A7E">
      <w:pPr>
        <w:pStyle w:val="Geenafstand"/>
        <w:numPr>
          <w:ilvl w:val="0"/>
          <w:numId w:val="3"/>
        </w:numPr>
      </w:pPr>
      <w:r>
        <w:t>meestal als het geld korter dan een jaar op de bankrekening staat</w:t>
      </w:r>
    </w:p>
    <w:p w:rsidR="00515A7E" w:rsidRDefault="00515A7E" w:rsidP="00515A7E">
      <w:pPr>
        <w:pStyle w:val="Geenafstand"/>
      </w:pPr>
      <w:r>
        <w:rPr>
          <w:color w:val="FF0000"/>
        </w:rPr>
        <w:t xml:space="preserve">Samengestelde interest </w:t>
      </w:r>
      <w:r>
        <w:t xml:space="preserve">als de interest niet alleen over het oorspronkelijk gestorte bedrag wordt berekend, maar ook over de al ontvangen interest </w:t>
      </w:r>
    </w:p>
    <w:p w:rsidR="00515A7E" w:rsidRDefault="00515A7E" w:rsidP="00515A7E">
      <w:pPr>
        <w:pStyle w:val="Geenafstand"/>
        <w:numPr>
          <w:ilvl w:val="0"/>
          <w:numId w:val="3"/>
        </w:numPr>
      </w:pPr>
      <w:r>
        <w:t>vaak als het geld langer dan een jaar op een bankrekening staat</w:t>
      </w:r>
    </w:p>
    <w:p w:rsidR="00515A7E" w:rsidRDefault="00515A7E" w:rsidP="00515A7E">
      <w:pPr>
        <w:pStyle w:val="Geenafstand"/>
        <w:numPr>
          <w:ilvl w:val="0"/>
          <w:numId w:val="3"/>
        </w:numPr>
      </w:pPr>
      <w:r>
        <w:t xml:space="preserve">wordt ook wel </w:t>
      </w:r>
      <w:r>
        <w:rPr>
          <w:color w:val="FF0000"/>
        </w:rPr>
        <w:t xml:space="preserve">rente op rente </w:t>
      </w:r>
      <w:r>
        <w:t xml:space="preserve">genoemd </w:t>
      </w:r>
    </w:p>
    <w:p w:rsidR="00515A7E" w:rsidRDefault="00515A7E" w:rsidP="00515A7E">
      <w:pPr>
        <w:pStyle w:val="Geenafstand"/>
      </w:pPr>
    </w:p>
    <w:p w:rsidR="00515A7E" w:rsidRDefault="00515A7E" w:rsidP="00515A7E">
      <w:pPr>
        <w:pStyle w:val="Geenafstand"/>
        <w:rPr>
          <w:b/>
          <w:sz w:val="24"/>
        </w:rPr>
      </w:pPr>
      <w:r>
        <w:rPr>
          <w:b/>
          <w:sz w:val="24"/>
        </w:rPr>
        <w:t xml:space="preserve">§9.2 Formule enkelvoudige interest </w:t>
      </w:r>
    </w:p>
    <w:p w:rsidR="00515A7E" w:rsidRDefault="00515A7E" w:rsidP="00515A7E">
      <w:pPr>
        <w:pStyle w:val="Geenafstand"/>
      </w:pPr>
    </w:p>
    <w:p w:rsidR="00515A7E" w:rsidRDefault="00515A7E" w:rsidP="00515A7E">
      <w:pPr>
        <w:pStyle w:val="Geenafstand"/>
      </w:pPr>
      <w:r>
        <w:rPr>
          <w:noProof/>
          <w:lang w:eastAsia="nl-NL"/>
        </w:rPr>
        <w:pict>
          <v:roundrect id="_x0000_s1028" style="position:absolute;margin-left:2.65pt;margin-top:2.25pt;width:329.25pt;height:87pt;z-index:251660288" arcsize="10923f" strokecolor="#00b0f0">
            <v:textbox>
              <w:txbxContent>
                <w:p w:rsidR="000E5950" w:rsidRDefault="000E5950" w:rsidP="00515A7E">
                  <w:pPr>
                    <w:pStyle w:val="Geenafstand"/>
                  </w:pPr>
                  <w:r>
                    <w:t>I = K * i * T</w:t>
                  </w:r>
                </w:p>
                <w:p w:rsidR="000E5950" w:rsidRPr="00515A7E" w:rsidRDefault="000E5950" w:rsidP="00515A7E">
                  <w:pPr>
                    <w:pStyle w:val="Geenafstand"/>
                  </w:pPr>
                  <w:r>
                    <w:t>I =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 xml:space="preserve">totale interestbedrag </w:t>
                  </w:r>
                </w:p>
                <w:p w:rsidR="000E5950" w:rsidRDefault="000E5950" w:rsidP="00515A7E">
                  <w:pPr>
                    <w:pStyle w:val="Geenafstand"/>
                  </w:pPr>
                  <w:r>
                    <w:t>K= het beginkapitaal</w:t>
                  </w:r>
                </w:p>
                <w:p w:rsidR="000E5950" w:rsidRDefault="000E5950" w:rsidP="00515A7E">
                  <w:pPr>
                    <w:pStyle w:val="Geenafstand"/>
                  </w:pPr>
                  <w:proofErr w:type="gramStart"/>
                  <w:r>
                    <w:t>i</w:t>
                  </w:r>
                  <w:proofErr w:type="gramEnd"/>
                  <w:r>
                    <w:t xml:space="preserve"> = het interest perunage (percentage uitgedrukt in een getal)</w:t>
                  </w:r>
                </w:p>
                <w:p w:rsidR="000E5950" w:rsidRDefault="000E5950" w:rsidP="00515A7E">
                  <w:pPr>
                    <w:pStyle w:val="Geenafstand"/>
                  </w:pPr>
                  <w:proofErr w:type="gramStart"/>
                  <w:r>
                    <w:t>t</w:t>
                  </w:r>
                  <w:proofErr w:type="gramEnd"/>
                  <w:r>
                    <w:t xml:space="preserve">= tijdsduur omgerekend in jaren </w:t>
                  </w:r>
                </w:p>
                <w:p w:rsidR="000E5950" w:rsidRDefault="000E5950"/>
              </w:txbxContent>
            </v:textbox>
          </v:roundrect>
        </w:pict>
      </w:r>
    </w:p>
    <w:p w:rsidR="00515A7E" w:rsidRPr="00515A7E" w:rsidRDefault="00515A7E" w:rsidP="00515A7E"/>
    <w:p w:rsidR="00515A7E" w:rsidRPr="00515A7E" w:rsidRDefault="00515A7E" w:rsidP="00515A7E"/>
    <w:p w:rsidR="00515A7E" w:rsidRDefault="00515A7E" w:rsidP="00515A7E"/>
    <w:p w:rsidR="00515A7E" w:rsidRDefault="00515A7E" w:rsidP="00515A7E"/>
    <w:p w:rsidR="00515A7E" w:rsidRDefault="00515A7E" w:rsidP="00515A7E">
      <w:pPr>
        <w:rPr>
          <w:b/>
          <w:sz w:val="24"/>
        </w:rPr>
      </w:pPr>
      <w:r>
        <w:rPr>
          <w:b/>
          <w:sz w:val="24"/>
        </w:rPr>
        <w:lastRenderedPageBreak/>
        <w:t xml:space="preserve">§9.3 Eindwaarde en contante waarde </w:t>
      </w:r>
    </w:p>
    <w:p w:rsidR="00515A7E" w:rsidRDefault="00515A7E" w:rsidP="00515A7E">
      <w:pPr>
        <w:pStyle w:val="Geenafstand"/>
      </w:pPr>
      <w:r>
        <w:rPr>
          <w:color w:val="FF0000"/>
        </w:rPr>
        <w:t xml:space="preserve">Eindwaarde </w:t>
      </w:r>
      <w:r w:rsidR="00D54DB7">
        <w:t xml:space="preserve">bedrag dat na een bepaalde tijd </w:t>
      </w:r>
      <w:r>
        <w:t>op de rekening staat inclusief de ontvangen interest</w:t>
      </w:r>
    </w:p>
    <w:p w:rsidR="00515A7E" w:rsidRDefault="00D54DB7" w:rsidP="00515A7E">
      <w:pPr>
        <w:pStyle w:val="Geenafstand"/>
      </w:pPr>
      <w:r>
        <w:rPr>
          <w:noProof/>
          <w:lang w:eastAsia="nl-NL"/>
        </w:rPr>
        <w:pict>
          <v:roundrect id="_x0000_s1029" style="position:absolute;margin-left:-4.85pt;margin-top:8.15pt;width:261pt;height:85.5pt;z-index:251661312" arcsize="10923f" strokecolor="#00b0f0">
            <v:textbox>
              <w:txbxContent>
                <w:p w:rsidR="000E5950" w:rsidRDefault="000E5950" w:rsidP="00D54DB7">
                  <w:pPr>
                    <w:pStyle w:val="Geenafstand"/>
                    <w:rPr>
                      <w:rFonts w:cs="Arial"/>
                      <w:lang w:eastAsia="zh-CN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En=K*(1+n)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oMath>
                  </m:oMathPara>
                  <w:r>
                    <w:br/>
                  </w:r>
                  <w:r w:rsidRPr="00D54DB7">
                    <w:rPr>
                      <w:rFonts w:cs="Arial"/>
                      <w:lang w:eastAsia="zh-CN"/>
                    </w:rPr>
                    <w:t xml:space="preserve">En = eindwaarde na </w:t>
                  </w:r>
                  <w:r>
                    <w:rPr>
                      <w:rFonts w:cs="Arial"/>
                      <w:i/>
                      <w:lang w:eastAsia="zh-CN"/>
                    </w:rPr>
                    <w:t xml:space="preserve">n </w:t>
                  </w:r>
                  <w:r>
                    <w:rPr>
                      <w:rFonts w:cs="Arial"/>
                      <w:lang w:eastAsia="zh-CN"/>
                    </w:rPr>
                    <w:t>perioden</w:t>
                  </w:r>
                </w:p>
                <w:p w:rsidR="000E5950" w:rsidRDefault="000E5950" w:rsidP="00D54DB7">
                  <w:pPr>
                    <w:pStyle w:val="Geenafstand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K = eenmalige beginstorting (contante waarde)</w:t>
                  </w:r>
                </w:p>
                <w:p w:rsidR="000E5950" w:rsidRDefault="000E5950" w:rsidP="00D54DB7">
                  <w:pPr>
                    <w:pStyle w:val="Geenafstand"/>
                    <w:rPr>
                      <w:rFonts w:cs="Arial"/>
                      <w:lang w:eastAsia="zh-CN"/>
                    </w:rPr>
                  </w:pPr>
                  <w:proofErr w:type="gramStart"/>
                  <w:r>
                    <w:rPr>
                      <w:rFonts w:cs="Arial"/>
                      <w:lang w:eastAsia="zh-CN"/>
                    </w:rPr>
                    <w:t>n</w:t>
                  </w:r>
                  <w:proofErr w:type="gramEnd"/>
                  <w:r>
                    <w:rPr>
                      <w:rFonts w:cs="Arial"/>
                      <w:lang w:eastAsia="zh-CN"/>
                    </w:rPr>
                    <w:t xml:space="preserve"> = aantal perioden waarover interest is ontvangen</w:t>
                  </w:r>
                </w:p>
                <w:p w:rsidR="000E5950" w:rsidRPr="00D54DB7" w:rsidRDefault="000E5950" w:rsidP="00D54DB7">
                  <w:pPr>
                    <w:pStyle w:val="Geenafstand"/>
                    <w:rPr>
                      <w:rFonts w:cs="Arial"/>
                      <w:lang w:eastAsia="zh-CN"/>
                    </w:rPr>
                  </w:pPr>
                  <w:proofErr w:type="gramStart"/>
                  <w:r>
                    <w:rPr>
                      <w:rFonts w:cs="Arial"/>
                      <w:lang w:eastAsia="zh-CN"/>
                    </w:rPr>
                    <w:t>i</w:t>
                  </w:r>
                  <w:proofErr w:type="gramEnd"/>
                  <w:r>
                    <w:rPr>
                      <w:rFonts w:cs="Arial"/>
                      <w:lang w:eastAsia="zh-CN"/>
                    </w:rPr>
                    <w:t xml:space="preserve"> = interestperungage </w:t>
                  </w:r>
                </w:p>
              </w:txbxContent>
            </v:textbox>
          </v:roundrect>
        </w:pict>
      </w:r>
    </w:p>
    <w:p w:rsidR="00D54DB7" w:rsidRDefault="00D54DB7" w:rsidP="00515A7E">
      <w:pPr>
        <w:pStyle w:val="Geenafstand"/>
      </w:pPr>
    </w:p>
    <w:p w:rsidR="00D54DB7" w:rsidRPr="00D54DB7" w:rsidRDefault="00D54DB7" w:rsidP="00D54DB7"/>
    <w:p w:rsidR="00D54DB7" w:rsidRPr="00D54DB7" w:rsidRDefault="00D54DB7" w:rsidP="00D54DB7"/>
    <w:p w:rsidR="00D54DB7" w:rsidRDefault="00D54DB7" w:rsidP="00D54DB7"/>
    <w:p w:rsidR="00515A7E" w:rsidRDefault="00D54DB7" w:rsidP="00D54DB7">
      <w:r>
        <w:rPr>
          <w:color w:val="FF0000"/>
        </w:rPr>
        <w:t xml:space="preserve">Contante waarde </w:t>
      </w:r>
      <w:r>
        <w:t>huidige waarde van een bedrag waarover je in de toekomt kunt beschikken</w:t>
      </w:r>
    </w:p>
    <w:p w:rsidR="00D54DB7" w:rsidRDefault="00D54DB7" w:rsidP="00D54DB7">
      <w:pPr>
        <w:pStyle w:val="Geenafstand"/>
        <w:rPr>
          <w:b/>
          <w:sz w:val="24"/>
        </w:rPr>
      </w:pPr>
      <w:r w:rsidRPr="00D54DB7">
        <w:rPr>
          <w:b/>
          <w:sz w:val="24"/>
        </w:rPr>
        <w:t>§9.4 Renten</w:t>
      </w:r>
    </w:p>
    <w:p w:rsidR="00D54DB7" w:rsidRDefault="00D54DB7" w:rsidP="00D54DB7">
      <w:pPr>
        <w:pStyle w:val="Geenafstand"/>
        <w:rPr>
          <w:b/>
          <w:sz w:val="24"/>
        </w:rPr>
      </w:pPr>
    </w:p>
    <w:p w:rsidR="00D54DB7" w:rsidRDefault="00D54DB7" w:rsidP="00D54DB7">
      <w:pPr>
        <w:pStyle w:val="Geenafstand"/>
      </w:pPr>
      <w:r>
        <w:rPr>
          <w:color w:val="FF0000"/>
        </w:rPr>
        <w:t xml:space="preserve">Interest </w:t>
      </w:r>
      <w:r>
        <w:t>beloning voor spaargeld</w:t>
      </w:r>
    </w:p>
    <w:p w:rsidR="00D54DB7" w:rsidRDefault="00D54DB7" w:rsidP="00D54DB7">
      <w:pPr>
        <w:pStyle w:val="Geenafstand"/>
      </w:pPr>
      <w:r>
        <w:rPr>
          <w:color w:val="FF0000"/>
        </w:rPr>
        <w:t xml:space="preserve">Rente </w:t>
      </w:r>
      <w:r>
        <w:t>een reeks periodiek vervallende bedragen (geld wat erbij komt op de spaarrekening wat geen interest is)</w:t>
      </w:r>
    </w:p>
    <w:p w:rsidR="00D54DB7" w:rsidRDefault="00D54DB7" w:rsidP="00D54DB7">
      <w:pPr>
        <w:pStyle w:val="Geenafstand"/>
      </w:pPr>
    </w:p>
    <w:p w:rsidR="00D54DB7" w:rsidRDefault="00D54DB7" w:rsidP="00D54DB7">
      <w:pPr>
        <w:pStyle w:val="Geenafstand"/>
      </w:pPr>
      <w:r>
        <w:t>Formules eindwaardes van een rente</w:t>
      </w:r>
    </w:p>
    <w:p w:rsidR="00343DC5" w:rsidRDefault="00343DC5" w:rsidP="00D54DB7">
      <w:pPr>
        <w:pStyle w:val="Geenafstand"/>
      </w:pPr>
      <w:r>
        <w:rPr>
          <w:noProof/>
          <w:lang w:eastAsia="nl-NL"/>
        </w:rPr>
        <w:pict>
          <v:roundrect id="_x0000_s1030" style="position:absolute;margin-left:-10.85pt;margin-top:9.55pt;width:509.25pt;height:105.75pt;z-index:251662336" arcsize="10923f" strokecolor="#00b0f0">
            <v:textbox>
              <w:txbxContent>
                <w:p w:rsidR="000E5950" w:rsidRPr="0090779D" w:rsidRDefault="000E5950" w:rsidP="00343DC5">
                  <w:pPr>
                    <w:pStyle w:val="Geenafstand"/>
                    <w:rPr>
                      <w:rFonts w:eastAsiaTheme="minorEastAsia"/>
                      <w:lang w:val="en-C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TEn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CA"/>
                      </w:rPr>
                      <m:t>=a*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CA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CA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CA"/>
                          </w:rPr>
                          <m:t>-1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CA"/>
                          </w:rPr>
                          <m:t>r-1</m:t>
                        </m:r>
                      </m:den>
                    </m:f>
                  </m:oMath>
                  <w:r w:rsidRPr="0090779D">
                    <w:rPr>
                      <w:rFonts w:eastAsiaTheme="minorEastAsia"/>
                      <w:lang w:val="en-CA"/>
                    </w:rPr>
                    <w:tab/>
                  </w:r>
                  <w:r w:rsidRPr="0090779D">
                    <w:rPr>
                      <w:rFonts w:eastAsiaTheme="minorEastAsia"/>
                      <w:lang w:val="en-CA"/>
                    </w:rPr>
                    <w:tab/>
                  </w:r>
                  <w:proofErr w:type="gramStart"/>
                  <w:r w:rsidRPr="0090779D">
                    <w:rPr>
                      <w:rFonts w:eastAsiaTheme="minorEastAsia"/>
                      <w:lang w:val="en-CA"/>
                    </w:rPr>
                    <w:t>of</w:t>
                  </w:r>
                  <w:proofErr w:type="gramEnd"/>
                  <w:r w:rsidRPr="0090779D">
                    <w:rPr>
                      <w:rFonts w:eastAsiaTheme="minorEastAsia"/>
                      <w:lang w:val="en-CA"/>
                    </w:rPr>
                    <w:t xml:space="preserve"> </w:t>
                  </w:r>
                  <w:r w:rsidRPr="0090779D">
                    <w:rPr>
                      <w:rFonts w:eastAsiaTheme="minorEastAsia"/>
                      <w:lang w:val="en-CA"/>
                    </w:rPr>
                    <w:tab/>
                  </w:r>
                  <m:oMath>
                    <m:r>
                      <w:rPr>
                        <w:rFonts w:ascii="Cambria Math" w:eastAsiaTheme="minorEastAsia" w:hAnsi="Cambria Math" w:cs="Cambria Math"/>
                      </w:rPr>
                      <m:t>TEn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lang w:val="en-CA"/>
                      </w:rPr>
                      <m:t>=T*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lang w:val="en-CA"/>
                              </w:rPr>
                              <m:t>1+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Cambria Math"/>
                            <w:lang w:val="en-CA"/>
                          </w:rPr>
                          <m:t>*(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lang w:val="en-CA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eastAsiaTheme="minorEastAsia" w:hAnsi="Cambria Math" w:cs="Cambria Math"/>
                                  </w:rPr>
                                  <m:t>i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Cambria Math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Cambria Math"/>
                            <w:lang w:val="en-CA"/>
                          </w:rPr>
                          <m:t>-1)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lang w:val="en-CA"/>
                          </w:rPr>
                          <m:t>i</m:t>
                        </m:r>
                      </m:den>
                    </m:f>
                  </m:oMath>
                </w:p>
                <w:p w:rsidR="000E5950" w:rsidRDefault="000E5950" w:rsidP="00343DC5">
                  <w:pPr>
                    <w:pStyle w:val="Geenafstand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TEn = Totale eindwaarde van een rente na </w:t>
                  </w:r>
                  <w:r>
                    <w:rPr>
                      <w:rFonts w:eastAsiaTheme="minorEastAsia"/>
                      <w:i/>
                    </w:rPr>
                    <w:t xml:space="preserve">n </w:t>
                  </w:r>
                  <w:r>
                    <w:rPr>
                      <w:rFonts w:eastAsiaTheme="minorEastAsia"/>
                    </w:rPr>
                    <w:t>perioden</w:t>
                  </w:r>
                </w:p>
                <w:p w:rsidR="000E5950" w:rsidRDefault="000E5950" w:rsidP="00343DC5">
                  <w:pPr>
                    <w:pStyle w:val="Geenafstand"/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a</w:t>
                  </w:r>
                  <w:proofErr w:type="gramEnd"/>
                  <w:r>
                    <w:rPr>
                      <w:rFonts w:eastAsiaTheme="minorEastAsia"/>
                    </w:rPr>
                    <w:t xml:space="preserve"> = de eerste term van de meetkundige rij = beginbedrag * (interestperungage +1)</w:t>
                  </w:r>
                </w:p>
                <w:p w:rsidR="000E5950" w:rsidRPr="00343DC5" w:rsidRDefault="000E5950" w:rsidP="00343DC5">
                  <w:pPr>
                    <w:pStyle w:val="Geenafstand"/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r</w:t>
                  </w:r>
                  <w:proofErr w:type="gramEnd"/>
                  <w:r>
                    <w:rPr>
                      <w:rFonts w:eastAsiaTheme="minorEastAsia"/>
                    </w:rPr>
                    <w:t xml:space="preserve"> = de reden, het constante getal waarmee voorgaande term wordt vermenigvuldigd = interestperungage +1 </w:t>
                  </w:r>
                </w:p>
                <w:p w:rsidR="000E5950" w:rsidRDefault="000E5950" w:rsidP="00343DC5">
                  <w:pPr>
                    <w:pStyle w:val="Geenafstand"/>
                  </w:pPr>
                  <w:proofErr w:type="gramStart"/>
                  <w:r>
                    <w:t>n</w:t>
                  </w:r>
                  <w:proofErr w:type="gramEnd"/>
                  <w:r>
                    <w:t xml:space="preserve"> = het aantal perioden</w:t>
                  </w:r>
                </w:p>
                <w:p w:rsidR="000E5950" w:rsidRDefault="000E5950" w:rsidP="00343DC5">
                  <w:pPr>
                    <w:pStyle w:val="Geenafstand"/>
                  </w:pPr>
                  <w:r>
                    <w:t>T = termijnbedrag</w:t>
                  </w:r>
                </w:p>
              </w:txbxContent>
            </v:textbox>
          </v:roundrect>
        </w:pict>
      </w:r>
    </w:p>
    <w:p w:rsidR="00D54DB7" w:rsidRPr="00D54DB7" w:rsidRDefault="00D54DB7" w:rsidP="00D54DB7">
      <w:pPr>
        <w:pStyle w:val="Geenafstand"/>
      </w:pPr>
    </w:p>
    <w:p w:rsidR="004477B5" w:rsidRDefault="004477B5" w:rsidP="00D54DB7">
      <w:pPr>
        <w:pStyle w:val="Geenafstand"/>
      </w:pPr>
    </w:p>
    <w:p w:rsidR="004477B5" w:rsidRPr="004477B5" w:rsidRDefault="004477B5" w:rsidP="004477B5"/>
    <w:p w:rsidR="004477B5" w:rsidRPr="004477B5" w:rsidRDefault="004477B5" w:rsidP="004477B5"/>
    <w:p w:rsidR="004477B5" w:rsidRDefault="004477B5" w:rsidP="004477B5">
      <w:pPr>
        <w:ind w:firstLine="708"/>
      </w:pPr>
    </w:p>
    <w:p w:rsidR="004477B5" w:rsidRDefault="004477B5" w:rsidP="004477B5">
      <w:pPr>
        <w:pStyle w:val="Geenafstand"/>
      </w:pPr>
    </w:p>
    <w:p w:rsidR="004477B5" w:rsidRDefault="004477B5" w:rsidP="004477B5">
      <w:pPr>
        <w:pStyle w:val="Geenafstand"/>
      </w:pPr>
      <w:r>
        <w:t>Formules contante waarde van een rente</w:t>
      </w:r>
    </w:p>
    <w:p w:rsidR="004477B5" w:rsidRDefault="004477B5" w:rsidP="004477B5">
      <w:pPr>
        <w:pStyle w:val="Geenafstand"/>
      </w:pPr>
    </w:p>
    <w:p w:rsidR="00AF3C81" w:rsidRDefault="004477B5" w:rsidP="004477B5">
      <w:pPr>
        <w:pStyle w:val="Geenafstand"/>
      </w:pPr>
      <w:r>
        <w:rPr>
          <w:noProof/>
          <w:lang w:eastAsia="nl-NL"/>
        </w:rPr>
        <w:pict>
          <v:roundrect id="_x0000_s1031" style="position:absolute;margin-left:-10.85pt;margin-top:-.3pt;width:509.25pt;height:132.75pt;z-index:251663360" arcsize="10923f" strokecolor="#00b0f0">
            <v:textbox>
              <w:txbxContent>
                <w:p w:rsidR="000E5950" w:rsidRPr="004477B5" w:rsidRDefault="000E5950" w:rsidP="004477B5">
                  <w:pPr>
                    <w:pStyle w:val="Geenafstand"/>
                  </w:pPr>
                  <m:oMath>
                    <m:r>
                      <w:rPr>
                        <w:rFonts w:ascii="Cambria Math" w:hAnsi="Cambria Math"/>
                      </w:rPr>
                      <m:t>TCn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den>
                    </m:f>
                  </m:oMath>
                  <w:r w:rsidRPr="004477B5">
                    <w:t xml:space="preserve">                    </w:t>
                  </w:r>
                  <w:proofErr w:type="gramStart"/>
                  <w:r w:rsidRPr="004477B5">
                    <w:t>of</w:t>
                  </w:r>
                  <w:proofErr w:type="gramEnd"/>
                  <w:r w:rsidRPr="004477B5">
                    <w:t xml:space="preserve">           </w:t>
                  </w:r>
                  <m:oMath>
                    <m:r>
                      <w:rPr>
                        <w:rFonts w:ascii="Cambria Math" w:hAnsi="Cambria Math"/>
                      </w:rPr>
                      <m:t>TCn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* 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p>
                            </m:sSup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den>
                    </m:f>
                  </m:oMath>
                </w:p>
                <w:p w:rsidR="000E5950" w:rsidRDefault="000E5950" w:rsidP="004477B5">
                  <w:pPr>
                    <w:pStyle w:val="Geenafstand"/>
                  </w:pPr>
                  <w:r w:rsidRPr="004477B5">
                    <w:t xml:space="preserve">TCn = totale contante </w:t>
                  </w:r>
                  <w:r>
                    <w:t>waarde na n perioden</w:t>
                  </w:r>
                </w:p>
                <w:p w:rsidR="000E5950" w:rsidRDefault="000E5950" w:rsidP="004477B5">
                  <w:pPr>
                    <w:pStyle w:val="Geenafstand"/>
                  </w:pPr>
                  <w:proofErr w:type="gramStart"/>
                  <w:r>
                    <w:t>a</w:t>
                  </w:r>
                  <w:proofErr w:type="gramEnd"/>
                  <w:r>
                    <w:t xml:space="preserve"> = eerste term van de meetkundige rij = termijnbedragen * interestperungage </w:t>
                  </w:r>
                </w:p>
                <w:p w:rsidR="000E5950" w:rsidRDefault="000E5950" w:rsidP="004477B5">
                  <w:pPr>
                    <w:pStyle w:val="Geenafstand"/>
                  </w:pPr>
                  <w:proofErr w:type="gramStart"/>
                  <w:r>
                    <w:t>r</w:t>
                  </w:r>
                  <w:proofErr w:type="gramEnd"/>
                  <w:r>
                    <w:t xml:space="preserve"> = reden = </w:t>
                  </w:r>
                  <w:proofErr w:type="spellStart"/>
                  <w:r>
                    <w:t>interestperunage</w:t>
                  </w:r>
                  <w:proofErr w:type="spellEnd"/>
                  <w:r>
                    <w:t xml:space="preserve"> </w:t>
                  </w:r>
                </w:p>
                <w:p w:rsidR="000E5950" w:rsidRDefault="000E5950" w:rsidP="004477B5">
                  <w:pPr>
                    <w:pStyle w:val="Geenafstand"/>
                  </w:pPr>
                  <w:proofErr w:type="gramStart"/>
                  <w:r>
                    <w:t>n</w:t>
                  </w:r>
                  <w:proofErr w:type="gramEnd"/>
                  <w:r>
                    <w:t xml:space="preserve"> = aantal perioden</w:t>
                  </w:r>
                </w:p>
                <w:p w:rsidR="000E5950" w:rsidRDefault="000E5950" w:rsidP="004477B5">
                  <w:pPr>
                    <w:pStyle w:val="Geenafstand"/>
                  </w:pPr>
                  <w:r>
                    <w:t xml:space="preserve">T = termijnbedrag </w:t>
                  </w:r>
                </w:p>
                <w:p w:rsidR="000E5950" w:rsidRPr="004477B5" w:rsidRDefault="000E5950" w:rsidP="004477B5">
                  <w:pPr>
                    <w:pStyle w:val="Geenafstand"/>
                  </w:pPr>
                  <w:proofErr w:type="gramStart"/>
                  <w:r>
                    <w:t>i</w:t>
                  </w:r>
                  <w:proofErr w:type="gramEnd"/>
                  <w:r>
                    <w:t xml:space="preserve"> = </w:t>
                  </w:r>
                  <w:proofErr w:type="spellStart"/>
                  <w:r>
                    <w:t>interestperunage</w:t>
                  </w:r>
                  <w:proofErr w:type="spellEnd"/>
                  <w:r>
                    <w:t xml:space="preserve"> </w:t>
                  </w:r>
                </w:p>
              </w:txbxContent>
            </v:textbox>
          </v:roundrect>
        </w:pict>
      </w:r>
    </w:p>
    <w:p w:rsidR="00AF3C81" w:rsidRPr="00AF3C81" w:rsidRDefault="00AF3C81" w:rsidP="00AF3C81"/>
    <w:p w:rsidR="00AF3C81" w:rsidRPr="00AF3C81" w:rsidRDefault="00AF3C81" w:rsidP="00AF3C81"/>
    <w:p w:rsidR="00AF3C81" w:rsidRPr="00AF3C81" w:rsidRDefault="00AF3C81" w:rsidP="00AF3C81"/>
    <w:p w:rsidR="00AF3C81" w:rsidRPr="00AF3C81" w:rsidRDefault="00AF3C81" w:rsidP="00AF3C81"/>
    <w:p w:rsidR="00AF3C81" w:rsidRDefault="00AF3C81" w:rsidP="00AF3C81"/>
    <w:p w:rsidR="004477B5" w:rsidRDefault="004477B5" w:rsidP="00AF3C81">
      <w:pPr>
        <w:pStyle w:val="Geenafstand"/>
      </w:pPr>
    </w:p>
    <w:p w:rsidR="00AF3C81" w:rsidRDefault="00AF3C81" w:rsidP="00AF3C81">
      <w:pPr>
        <w:pStyle w:val="Geenafstand"/>
        <w:rPr>
          <w:b/>
          <w:sz w:val="24"/>
        </w:rPr>
      </w:pPr>
      <w:r>
        <w:rPr>
          <w:b/>
          <w:sz w:val="24"/>
        </w:rPr>
        <w:t>§10.1 Obligaties</w:t>
      </w:r>
    </w:p>
    <w:p w:rsidR="00AF3C81" w:rsidRDefault="00AF3C81" w:rsidP="00AF3C81">
      <w:pPr>
        <w:pStyle w:val="Geenafstand"/>
      </w:pPr>
    </w:p>
    <w:p w:rsidR="00AF3C81" w:rsidRDefault="00AF3C81" w:rsidP="00AF3C81">
      <w:pPr>
        <w:pStyle w:val="Geenafstand"/>
      </w:pPr>
      <w:r>
        <w:rPr>
          <w:color w:val="FF0000"/>
        </w:rPr>
        <w:t xml:space="preserve">Obligatielening </w:t>
      </w:r>
      <w:r>
        <w:t>een in delen gesplitste langlopende geldlening met een vaste rente die wordt afgesloten tussen een organisatie en meerdere vermogensverschaffers of beleggers</w:t>
      </w:r>
    </w:p>
    <w:p w:rsidR="00AF3C81" w:rsidRDefault="00AF3C81" w:rsidP="00AF3C81">
      <w:pPr>
        <w:pStyle w:val="Geenafstand"/>
      </w:pPr>
      <w:r>
        <w:rPr>
          <w:color w:val="FF0000"/>
        </w:rPr>
        <w:t xml:space="preserve">Obligatie </w:t>
      </w:r>
      <w:r>
        <w:t>deel van een obligatielening</w:t>
      </w:r>
    </w:p>
    <w:p w:rsidR="00AF3C81" w:rsidRDefault="00AF3C81" w:rsidP="00AF3C81">
      <w:pPr>
        <w:pStyle w:val="Geenafstand"/>
      </w:pPr>
      <w:r>
        <w:rPr>
          <w:color w:val="FF0000"/>
        </w:rPr>
        <w:t xml:space="preserve">Obligatiehouders </w:t>
      </w:r>
      <w:r>
        <w:t>beleggers die obligaties kopen</w:t>
      </w:r>
    </w:p>
    <w:p w:rsidR="00AF3C81" w:rsidRDefault="00AF3C81" w:rsidP="00AF3C81">
      <w:pPr>
        <w:pStyle w:val="Geenafstand"/>
      </w:pPr>
      <w:r>
        <w:rPr>
          <w:color w:val="FF0000"/>
        </w:rPr>
        <w:t xml:space="preserve">Couponrente </w:t>
      </w:r>
      <w:r>
        <w:t>rente op obligaties</w:t>
      </w:r>
    </w:p>
    <w:p w:rsidR="00AF3C81" w:rsidRDefault="00AF3C81" w:rsidP="00AF3C81">
      <w:pPr>
        <w:pStyle w:val="Geenafstand"/>
        <w:rPr>
          <w:color w:val="FF0000"/>
        </w:rPr>
      </w:pPr>
      <w:r>
        <w:t xml:space="preserve">Obligaties worden verhandeld op de </w:t>
      </w:r>
      <w:r>
        <w:rPr>
          <w:color w:val="FF0000"/>
        </w:rPr>
        <w:t xml:space="preserve">openbare kapitaalmarkt </w:t>
      </w:r>
    </w:p>
    <w:p w:rsidR="00AF3C81" w:rsidRDefault="00AF3C81" w:rsidP="00AF3C81">
      <w:pPr>
        <w:pStyle w:val="Geenafstand"/>
        <w:numPr>
          <w:ilvl w:val="0"/>
          <w:numId w:val="3"/>
        </w:numPr>
      </w:pPr>
      <w:r>
        <w:t>iedere belegger kan obligaties kopen en verkopen</w:t>
      </w:r>
    </w:p>
    <w:p w:rsidR="00AF3C81" w:rsidRDefault="00AF3C81" w:rsidP="00AF3C81">
      <w:pPr>
        <w:pStyle w:val="Geenafstand"/>
      </w:pPr>
      <w:r>
        <w:lastRenderedPageBreak/>
        <w:t xml:space="preserve">Voorwaarden obligatie </w:t>
      </w:r>
    </w:p>
    <w:p w:rsidR="00AF3C81" w:rsidRDefault="00AF3C81" w:rsidP="00AF3C81">
      <w:pPr>
        <w:pStyle w:val="Geenafstand"/>
        <w:numPr>
          <w:ilvl w:val="0"/>
          <w:numId w:val="3"/>
        </w:numPr>
      </w:pPr>
      <w:r>
        <w:rPr>
          <w:noProof/>
          <w:lang w:eastAsia="nl-NL"/>
        </w:rPr>
        <w:pict>
          <v:shape id="_x0000_s1032" type="#_x0000_t13" style="position:absolute;left:0;text-align:left;margin-left:145.15pt;margin-top:6.45pt;width:61.5pt;height:28.5pt;z-index:251664384"/>
        </w:pict>
      </w:r>
      <w:r>
        <w:t>couponrente</w:t>
      </w:r>
    </w:p>
    <w:p w:rsidR="00AF3C81" w:rsidRDefault="00AF3C81" w:rsidP="00AF3C81">
      <w:pPr>
        <w:pStyle w:val="Geenafstand"/>
        <w:numPr>
          <w:ilvl w:val="0"/>
          <w:numId w:val="3"/>
        </w:numPr>
      </w:pPr>
      <w:r>
        <w:t>nominale waarde</w:t>
      </w:r>
      <w:r>
        <w:tab/>
      </w:r>
      <w:r>
        <w:tab/>
      </w:r>
      <w:r>
        <w:tab/>
        <w:t xml:space="preserve">voor iedere belegger gelijk </w:t>
      </w:r>
    </w:p>
    <w:p w:rsidR="00AF3C81" w:rsidRDefault="00AF3C81" w:rsidP="00AF3C81">
      <w:pPr>
        <w:pStyle w:val="Geenafstand"/>
        <w:numPr>
          <w:ilvl w:val="0"/>
          <w:numId w:val="3"/>
        </w:numPr>
      </w:pPr>
      <w:r>
        <w:t>aflossingsschema</w:t>
      </w:r>
    </w:p>
    <w:p w:rsidR="00AF3C81" w:rsidRDefault="00AF3C81" w:rsidP="00AF3C81">
      <w:pPr>
        <w:pStyle w:val="Geenafstand"/>
      </w:pPr>
    </w:p>
    <w:p w:rsidR="00AF3C81" w:rsidRDefault="00AF3C81" w:rsidP="00AF3C81">
      <w:pPr>
        <w:pStyle w:val="Geenafstand"/>
      </w:pPr>
      <w:r>
        <w:rPr>
          <w:color w:val="FF0000"/>
        </w:rPr>
        <w:t xml:space="preserve">Onderhandse kapitaalmarkt </w:t>
      </w:r>
      <w:r>
        <w:t>hier vindt een vermogenstransactie plaats tussen één vrager en één aanbieder</w:t>
      </w:r>
    </w:p>
    <w:p w:rsidR="00AF3C81" w:rsidRDefault="00AF3C81" w:rsidP="00AF3C81">
      <w:pPr>
        <w:pStyle w:val="Geenafstand"/>
        <w:numPr>
          <w:ilvl w:val="0"/>
          <w:numId w:val="3"/>
        </w:numPr>
      </w:pPr>
      <w:r>
        <w:t>voorwaarden in onderling overleg</w:t>
      </w:r>
    </w:p>
    <w:tbl>
      <w:tblPr>
        <w:tblStyle w:val="Tabelraster"/>
        <w:tblpPr w:leftFromText="141" w:rightFromText="141" w:vertAnchor="text" w:horzAnchor="margin" w:tblpY="51"/>
        <w:tblW w:w="0" w:type="auto"/>
        <w:tblLook w:val="04A0"/>
      </w:tblPr>
      <w:tblGrid>
        <w:gridCol w:w="4606"/>
        <w:gridCol w:w="4606"/>
      </w:tblGrid>
      <w:tr w:rsidR="00B40A83" w:rsidTr="00B40A83">
        <w:tc>
          <w:tcPr>
            <w:tcW w:w="4606" w:type="dxa"/>
          </w:tcPr>
          <w:p w:rsidR="00B40A83" w:rsidRPr="00AF3C81" w:rsidRDefault="00B40A83" w:rsidP="00B40A83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Obligatielening</w:t>
            </w:r>
          </w:p>
        </w:tc>
        <w:tc>
          <w:tcPr>
            <w:tcW w:w="4606" w:type="dxa"/>
          </w:tcPr>
          <w:p w:rsidR="00B40A83" w:rsidRPr="00AF3C81" w:rsidRDefault="00B40A83" w:rsidP="00B40A83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Onderhandse lening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Meerdere schuldeisers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Één schuldeiser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Vrij verhandelbaar</w:t>
            </w:r>
          </w:p>
          <w:p w:rsidR="00B40A83" w:rsidRDefault="00B40A83" w:rsidP="00B40A83">
            <w:pPr>
              <w:pStyle w:val="Geenafstand"/>
            </w:pPr>
            <w:r>
              <w:t>→interest vaak lager dan bij onderhandse leningen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Niet verhandelbaar</w:t>
            </w:r>
          </w:p>
          <w:p w:rsidR="00B40A83" w:rsidRDefault="00B40A83" w:rsidP="00B40A83">
            <w:pPr>
              <w:pStyle w:val="Geenafstand"/>
            </w:pPr>
            <w:r>
              <w:t>→ interest vaak hoger dan bij obligatielening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 xml:space="preserve">Voorwaarden </w:t>
            </w:r>
            <w:proofErr w:type="gramStart"/>
            <w:r>
              <w:t>staat</w:t>
            </w:r>
            <w:proofErr w:type="gramEnd"/>
            <w:r>
              <w:t xml:space="preserve"> vast voor belegger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Voorwaarden worden in overleg vastgesteld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Hoge emissiekosten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Lage of geen afsluitkosten</w:t>
            </w:r>
          </w:p>
        </w:tc>
      </w:tr>
    </w:tbl>
    <w:p w:rsidR="00AF3C81" w:rsidRDefault="00AF3C81" w:rsidP="00AF3C81">
      <w:pPr>
        <w:pStyle w:val="Geenafstand"/>
      </w:pPr>
    </w:p>
    <w:p w:rsidR="00EF7E76" w:rsidRDefault="00EF7E76" w:rsidP="00AF3C81">
      <w:pPr>
        <w:pStyle w:val="Geenafstand"/>
      </w:pPr>
      <w:r>
        <w:t>Waarom worden obligaties uitgegeven?</w:t>
      </w:r>
    </w:p>
    <w:p w:rsidR="00EF7E76" w:rsidRDefault="00EF7E76" w:rsidP="00EF7E76">
      <w:pPr>
        <w:pStyle w:val="Geenafstand"/>
        <w:numPr>
          <w:ilvl w:val="0"/>
          <w:numId w:val="3"/>
        </w:numPr>
      </w:pPr>
      <w:r>
        <w:t>Het is makkelijker om aan een groot extra vermogen te komen</w:t>
      </w:r>
    </w:p>
    <w:p w:rsidR="00EF7E76" w:rsidRDefault="00EF7E76" w:rsidP="00EF7E76">
      <w:pPr>
        <w:pStyle w:val="Geenafstand"/>
        <w:numPr>
          <w:ilvl w:val="0"/>
          <w:numId w:val="3"/>
        </w:numPr>
      </w:pPr>
      <w:r>
        <w:t>De bank beschouwt een grote lening als risicovol → hoge rente. Bij een obligatielening lagere rente</w:t>
      </w:r>
    </w:p>
    <w:p w:rsidR="00EF7E76" w:rsidRDefault="00EF7E76" w:rsidP="00EF7E76">
      <w:pPr>
        <w:pStyle w:val="Geenafstand"/>
        <w:numPr>
          <w:ilvl w:val="0"/>
          <w:numId w:val="3"/>
        </w:numPr>
      </w:pPr>
      <w:r>
        <w:t>Obligatielening levert positieve publiciteit op, omdat het openbaar wordt gemaakt. Dit is goedkoper dan zelf reclame maken</w:t>
      </w:r>
    </w:p>
    <w:p w:rsidR="00EF7E76" w:rsidRDefault="00EF7E76" w:rsidP="00EF7E76">
      <w:pPr>
        <w:pStyle w:val="Geenafstand"/>
        <w:numPr>
          <w:ilvl w:val="0"/>
          <w:numId w:val="3"/>
        </w:numPr>
      </w:pPr>
      <w:r>
        <w:t xml:space="preserve">Obligatielening geeft alleen verplichting ten aanzien van het betalen van interest en aflossing. De bank stelt vaak meer eisen, zoals het beschikbaar stellen van een balans etc. </w:t>
      </w:r>
    </w:p>
    <w:p w:rsidR="00EF7E76" w:rsidRDefault="00EF7E76" w:rsidP="00EF7E76">
      <w:pPr>
        <w:pStyle w:val="Geenafstand"/>
      </w:pPr>
    </w:p>
    <w:p w:rsidR="00EF7E76" w:rsidRDefault="00EF7E76" w:rsidP="00EF7E76">
      <w:pPr>
        <w:pStyle w:val="Geenafstand"/>
      </w:pPr>
      <w:r>
        <w:rPr>
          <w:color w:val="FF0000"/>
        </w:rPr>
        <w:t xml:space="preserve">Institutionele beleggers </w:t>
      </w:r>
      <w:r>
        <w:t xml:space="preserve">verzekeringsmaatschappijen en pensioenfondsen </w:t>
      </w:r>
    </w:p>
    <w:p w:rsidR="00EF7E76" w:rsidRDefault="00EF7E76" w:rsidP="00EF7E76">
      <w:pPr>
        <w:pStyle w:val="Geenafstand"/>
        <w:numPr>
          <w:ilvl w:val="0"/>
          <w:numId w:val="3"/>
        </w:numPr>
      </w:pPr>
      <w:r>
        <w:t>Overheid leent vaak geld van institutionele beleggers</w:t>
      </w:r>
    </w:p>
    <w:p w:rsidR="00EF7E76" w:rsidRDefault="00EF7E76" w:rsidP="00EF7E76">
      <w:pPr>
        <w:pStyle w:val="Geenafstand"/>
        <w:numPr>
          <w:ilvl w:val="1"/>
          <w:numId w:val="3"/>
        </w:numPr>
      </w:pPr>
      <w:r>
        <w:t>Onderhandse kapitaalmarkt</w:t>
      </w:r>
    </w:p>
    <w:p w:rsidR="00EF7E76" w:rsidRDefault="00EF7E76" w:rsidP="00EF7E76">
      <w:pPr>
        <w:pStyle w:val="Geenafstand"/>
      </w:pPr>
      <w:r>
        <w:rPr>
          <w:color w:val="FF0000"/>
        </w:rPr>
        <w:t xml:space="preserve">Nominale waarde </w:t>
      </w:r>
      <w:r>
        <w:t>bedrag dat de organisatie bij aflossing van de lening terugbetaald aan belegger</w:t>
      </w:r>
    </w:p>
    <w:p w:rsidR="00EF7E76" w:rsidRDefault="00EF7E76" w:rsidP="00EF7E76">
      <w:pPr>
        <w:pStyle w:val="Geenafstand"/>
      </w:pPr>
      <w:r>
        <w:rPr>
          <w:color w:val="FF0000"/>
        </w:rPr>
        <w:t xml:space="preserve">Emissie/uitgifte/plaatsing </w:t>
      </w:r>
      <w:r>
        <w:t>verkoop van obligaties door een organisatie</w:t>
      </w:r>
    </w:p>
    <w:p w:rsidR="00EF7E76" w:rsidRDefault="00EF7E76" w:rsidP="00EF7E76">
      <w:pPr>
        <w:pStyle w:val="Geenafstand"/>
      </w:pPr>
      <w:r>
        <w:rPr>
          <w:color w:val="FF0000"/>
        </w:rPr>
        <w:t xml:space="preserve">Emissiekoers </w:t>
      </w:r>
      <w:r>
        <w:t xml:space="preserve">prijs die belegger bij emissie van obligaties moet betalen </w:t>
      </w:r>
    </w:p>
    <w:p w:rsidR="00EF7E76" w:rsidRDefault="00EF7E76" w:rsidP="00EF7E76">
      <w:pPr>
        <w:pStyle w:val="Geenafstand"/>
        <w:numPr>
          <w:ilvl w:val="0"/>
          <w:numId w:val="3"/>
        </w:numPr>
      </w:pPr>
      <w:r>
        <w:t>Uitgedrukt in percentage van de nominale waarde</w:t>
      </w:r>
    </w:p>
    <w:p w:rsidR="00EF7E76" w:rsidRDefault="00EF7E76" w:rsidP="00EF7E76">
      <w:pPr>
        <w:pStyle w:val="Geenafstand"/>
      </w:pPr>
      <w:r>
        <w:rPr>
          <w:color w:val="FF0000"/>
        </w:rPr>
        <w:t xml:space="preserve">Boven pari </w:t>
      </w:r>
      <w:r>
        <w:t>obligatie met emissiekoers boven de nominale waarde</w:t>
      </w:r>
    </w:p>
    <w:p w:rsidR="00EF7E76" w:rsidRDefault="00EF7E76" w:rsidP="00EF7E76">
      <w:pPr>
        <w:pStyle w:val="Geenafstand"/>
      </w:pPr>
      <w:r>
        <w:rPr>
          <w:color w:val="FF0000"/>
        </w:rPr>
        <w:t xml:space="preserve">Beneden pari </w:t>
      </w:r>
      <w:r>
        <w:t>obligatie met emissiekoers onder de nominale waarde</w:t>
      </w:r>
    </w:p>
    <w:p w:rsidR="00EF7E76" w:rsidRDefault="00EF7E76" w:rsidP="00EF7E76">
      <w:pPr>
        <w:pStyle w:val="Geenafstand"/>
      </w:pPr>
      <w:r>
        <w:rPr>
          <w:color w:val="FF0000"/>
        </w:rPr>
        <w:t xml:space="preserve">Pari </w:t>
      </w:r>
      <w:r>
        <w:t>emissiekoers = 100%</w:t>
      </w:r>
    </w:p>
    <w:p w:rsidR="00EF7E76" w:rsidRDefault="00EF7E76" w:rsidP="00EF7E76">
      <w:pPr>
        <w:pStyle w:val="Geenafstand"/>
      </w:pPr>
      <w:r>
        <w:rPr>
          <w:color w:val="FF0000"/>
        </w:rPr>
        <w:t xml:space="preserve">Agio </w:t>
      </w:r>
      <w:r>
        <w:t xml:space="preserve">positief verschil tussen emissiekoers in euro’s en de nominale waarde van de obligatie, wanneer het verschil negatief is, noem je het </w:t>
      </w:r>
      <w:r>
        <w:rPr>
          <w:color w:val="FF0000"/>
        </w:rPr>
        <w:t xml:space="preserve">disagio </w:t>
      </w:r>
    </w:p>
    <w:p w:rsidR="00EF7E76" w:rsidRDefault="00EF7E76" w:rsidP="00EF7E76">
      <w:pPr>
        <w:pStyle w:val="Geenafstand"/>
        <w:numPr>
          <w:ilvl w:val="0"/>
          <w:numId w:val="3"/>
        </w:numPr>
      </w:pPr>
      <w:r>
        <w:t>Agio valt onder het eigen vermogen van de organisatie</w:t>
      </w:r>
    </w:p>
    <w:p w:rsidR="00EF7E76" w:rsidRDefault="00EF7E76" w:rsidP="00EF7E76">
      <w:pPr>
        <w:pStyle w:val="Geenafstand"/>
      </w:pPr>
      <w:r>
        <w:rPr>
          <w:color w:val="FF0000"/>
        </w:rPr>
        <w:t xml:space="preserve">Commerciële organisatie </w:t>
      </w:r>
      <w:r>
        <w:t>bedrijf dat op winst gericht is</w:t>
      </w:r>
    </w:p>
    <w:p w:rsidR="00EF7E76" w:rsidRDefault="00EF7E76" w:rsidP="00EF7E76">
      <w:pPr>
        <w:pStyle w:val="Geenafstand"/>
      </w:pPr>
    </w:p>
    <w:p w:rsidR="00EF7E76" w:rsidRDefault="00EF7E76" w:rsidP="00EF7E76">
      <w:pPr>
        <w:pStyle w:val="Geenafstand"/>
      </w:pPr>
      <w:r>
        <w:t>Aflossing van obligaties</w:t>
      </w:r>
    </w:p>
    <w:p w:rsidR="00EF7E76" w:rsidRPr="00EF7E76" w:rsidRDefault="00EF7E76" w:rsidP="00EF7E76">
      <w:pPr>
        <w:pStyle w:val="Geenafstand"/>
        <w:numPr>
          <w:ilvl w:val="0"/>
          <w:numId w:val="3"/>
        </w:numPr>
      </w:pPr>
      <w:r>
        <w:t xml:space="preserve">In 1 keer, geen tussentijdse aflossing = </w:t>
      </w:r>
      <w:proofErr w:type="spellStart"/>
      <w:r>
        <w:rPr>
          <w:color w:val="FF0000"/>
        </w:rPr>
        <w:t>bulletleningen</w:t>
      </w:r>
      <w:proofErr w:type="spellEnd"/>
    </w:p>
    <w:p w:rsidR="00EF7E76" w:rsidRPr="00EF7E76" w:rsidRDefault="00EF7E76" w:rsidP="00EF7E76">
      <w:pPr>
        <w:pStyle w:val="Geenafstand"/>
        <w:numPr>
          <w:ilvl w:val="0"/>
          <w:numId w:val="3"/>
        </w:numPr>
      </w:pPr>
      <w:r>
        <w:t xml:space="preserve">Tussentijds aflossen via </w:t>
      </w:r>
      <w:r>
        <w:rPr>
          <w:color w:val="FF0000"/>
        </w:rPr>
        <w:t>loting</w:t>
      </w:r>
    </w:p>
    <w:p w:rsidR="00EF7E76" w:rsidRDefault="00EF7E76" w:rsidP="00EF7E76">
      <w:pPr>
        <w:pStyle w:val="Geenafstand"/>
        <w:numPr>
          <w:ilvl w:val="1"/>
          <w:numId w:val="3"/>
        </w:numPr>
      </w:pPr>
      <w:r>
        <w:t>aflossing over tijd gespreid</w:t>
      </w:r>
    </w:p>
    <w:p w:rsidR="00EF7E76" w:rsidRDefault="00EF7E76" w:rsidP="00EF7E76">
      <w:pPr>
        <w:pStyle w:val="Geenafstand"/>
        <w:numPr>
          <w:ilvl w:val="1"/>
          <w:numId w:val="3"/>
        </w:numPr>
      </w:pPr>
      <w:r>
        <w:t>minder rentelasten</w:t>
      </w:r>
    </w:p>
    <w:p w:rsidR="00EF7E76" w:rsidRDefault="00B40A83" w:rsidP="00EF7E76">
      <w:pPr>
        <w:pStyle w:val="Geenafstand"/>
        <w:numPr>
          <w:ilvl w:val="0"/>
          <w:numId w:val="3"/>
        </w:numPr>
      </w:pPr>
      <w:r>
        <w:rPr>
          <w:color w:val="FF0000"/>
        </w:rPr>
        <w:t xml:space="preserve">vervroegde aflossing, </w:t>
      </w:r>
      <w:r>
        <w:t xml:space="preserve">vaak wanneer het bedrijf de mogelijkheid ziet om nieuwe </w:t>
      </w:r>
      <w:proofErr w:type="spellStart"/>
      <w:r>
        <w:t>oblgaties</w:t>
      </w:r>
      <w:proofErr w:type="spellEnd"/>
      <w:r>
        <w:t xml:space="preserve"> tegen lagere interest aan te gaan</w:t>
      </w:r>
    </w:p>
    <w:p w:rsidR="00B40A83" w:rsidRDefault="00B40A83" w:rsidP="00EF7E76">
      <w:pPr>
        <w:pStyle w:val="Geenafstand"/>
        <w:numPr>
          <w:ilvl w:val="0"/>
          <w:numId w:val="3"/>
        </w:numPr>
      </w:pPr>
      <w:proofErr w:type="spellStart"/>
      <w:r>
        <w:rPr>
          <w:color w:val="FF0000"/>
        </w:rPr>
        <w:t>perpetuals</w:t>
      </w:r>
      <w:proofErr w:type="spellEnd"/>
      <w:r>
        <w:rPr>
          <w:color w:val="FF0000"/>
        </w:rPr>
        <w:t xml:space="preserve"> </w:t>
      </w:r>
      <w:r>
        <w:t xml:space="preserve">obligaties met zeer lange looptijd of zonder einddatum </w:t>
      </w:r>
    </w:p>
    <w:p w:rsidR="00B40A83" w:rsidRDefault="00B40A83" w:rsidP="00B40A83">
      <w:pPr>
        <w:pStyle w:val="Geenafstand"/>
        <w:numPr>
          <w:ilvl w:val="1"/>
          <w:numId w:val="3"/>
        </w:numPr>
      </w:pPr>
      <w:r>
        <w:t xml:space="preserve">geen </w:t>
      </w:r>
      <w:proofErr w:type="spellStart"/>
      <w:r>
        <w:t>aflossingsplich</w:t>
      </w:r>
      <w:proofErr w:type="spellEnd"/>
    </w:p>
    <w:p w:rsidR="00B40A83" w:rsidRDefault="00B40A83" w:rsidP="00B40A83">
      <w:pPr>
        <w:pStyle w:val="Geenafstand"/>
        <w:numPr>
          <w:ilvl w:val="1"/>
          <w:numId w:val="3"/>
        </w:numPr>
      </w:pPr>
      <w:r>
        <w:t xml:space="preserve">ook wel </w:t>
      </w:r>
      <w:r>
        <w:rPr>
          <w:color w:val="FF0000"/>
        </w:rPr>
        <w:t xml:space="preserve">grootboekobligaties </w:t>
      </w:r>
      <w:r>
        <w:t xml:space="preserve">of </w:t>
      </w:r>
      <w:proofErr w:type="spellStart"/>
      <w:r>
        <w:rPr>
          <w:color w:val="FF0000"/>
        </w:rPr>
        <w:t>ledgers</w:t>
      </w:r>
      <w:proofErr w:type="spellEnd"/>
      <w:r>
        <w:rPr>
          <w:color w:val="FF0000"/>
        </w:rPr>
        <w:t xml:space="preserve"> </w:t>
      </w:r>
      <w:r>
        <w:t>genoemd</w:t>
      </w:r>
    </w:p>
    <w:p w:rsidR="00B40A83" w:rsidRDefault="00B40A83" w:rsidP="00B40A83">
      <w:pPr>
        <w:pStyle w:val="Geenafstand"/>
      </w:pPr>
      <w:r>
        <w:lastRenderedPageBreak/>
        <w:t>De obligatielening wordt tegen 100% nominale waarde (</w:t>
      </w:r>
      <w:r w:rsidRPr="00B40A83">
        <w:rPr>
          <w:color w:val="FF0000"/>
        </w:rPr>
        <w:t>a pari</w:t>
      </w:r>
      <w:r>
        <w:t xml:space="preserve">) afgelost. </w:t>
      </w:r>
      <w:r w:rsidRPr="00B40A83">
        <w:rPr>
          <w:color w:val="FF0000"/>
        </w:rPr>
        <w:t xml:space="preserve">Agio </w:t>
      </w:r>
      <w:r>
        <w:t xml:space="preserve">wordt niet terugbetaald, </w:t>
      </w:r>
      <w:r w:rsidRPr="00B40A83">
        <w:rPr>
          <w:color w:val="FF0000"/>
        </w:rPr>
        <w:t xml:space="preserve">disagio </w:t>
      </w:r>
      <w:r>
        <w:t>wel</w:t>
      </w:r>
    </w:p>
    <w:p w:rsidR="00B40A83" w:rsidRDefault="00B40A83" w:rsidP="00B40A83">
      <w:pPr>
        <w:pStyle w:val="Geenafstand"/>
      </w:pPr>
    </w:p>
    <w:p w:rsidR="00B40A83" w:rsidRDefault="00B40A83" w:rsidP="00B40A83">
      <w:pPr>
        <w:pStyle w:val="Geenafstand"/>
        <w:rPr>
          <w:b/>
          <w:sz w:val="24"/>
        </w:rPr>
      </w:pPr>
      <w:r>
        <w:rPr>
          <w:b/>
          <w:sz w:val="24"/>
        </w:rPr>
        <w:t xml:space="preserve">§10.2 Obligatiekoers en rendement </w:t>
      </w:r>
    </w:p>
    <w:p w:rsidR="00B40A83" w:rsidRDefault="00B40A83" w:rsidP="00B40A83">
      <w:pPr>
        <w:pStyle w:val="Geenafstand"/>
      </w:pPr>
    </w:p>
    <w:p w:rsidR="00B40A83" w:rsidRDefault="00B40A83" w:rsidP="00B40A83">
      <w:pPr>
        <w:pStyle w:val="Geenafstand"/>
      </w:pPr>
      <w:r>
        <w:rPr>
          <w:color w:val="FF0000"/>
        </w:rPr>
        <w:t xml:space="preserve">Obligatiekoers/beurskoers </w:t>
      </w:r>
      <w:r>
        <w:t xml:space="preserve">prijs waarvoor je een obligatie op de effectenbeurs kunt (ver)kopen </w:t>
      </w:r>
    </w:p>
    <w:p w:rsidR="00B40A83" w:rsidRDefault="00B40A83" w:rsidP="00B40A83">
      <w:pPr>
        <w:pStyle w:val="Geenafstand"/>
      </w:pPr>
    </w:p>
    <w:p w:rsidR="00B40A83" w:rsidRDefault="00B40A83" w:rsidP="00B40A83">
      <w:pPr>
        <w:pStyle w:val="Geenafstand"/>
      </w:pPr>
      <w:r>
        <w:t>Waardoor wordt de beurskoers bepaald?</w:t>
      </w:r>
    </w:p>
    <w:p w:rsidR="00B40A83" w:rsidRPr="00B40A83" w:rsidRDefault="00B40A83" w:rsidP="00B40A83">
      <w:pPr>
        <w:pStyle w:val="Geenafstand"/>
        <w:numPr>
          <w:ilvl w:val="0"/>
          <w:numId w:val="3"/>
        </w:numPr>
      </w:pPr>
      <w:r>
        <w:rPr>
          <w:color w:val="FF0000"/>
        </w:rPr>
        <w:t>Marktrente</w:t>
      </w:r>
    </w:p>
    <w:p w:rsidR="00B40A83" w:rsidRDefault="00B40A83" w:rsidP="00B40A83">
      <w:pPr>
        <w:pStyle w:val="Geenafstand"/>
        <w:numPr>
          <w:ilvl w:val="0"/>
          <w:numId w:val="3"/>
        </w:numPr>
      </w:pPr>
      <w:r>
        <w:rPr>
          <w:color w:val="FF0000"/>
        </w:rPr>
        <w:t xml:space="preserve">Kredietrisico/kredietstatus/rating </w:t>
      </w:r>
    </w:p>
    <w:p w:rsidR="00B40A83" w:rsidRDefault="00B40A83" w:rsidP="00B40A83">
      <w:pPr>
        <w:pStyle w:val="Geenafstand"/>
        <w:numPr>
          <w:ilvl w:val="1"/>
          <w:numId w:val="3"/>
        </w:numPr>
      </w:pPr>
      <w:r>
        <w:rPr>
          <w:color w:val="FF0000"/>
        </w:rPr>
        <w:t xml:space="preserve">Kredietwaardering </w:t>
      </w:r>
      <w:r>
        <w:t>of het bedrijf er financieel goed voorstaat</w:t>
      </w:r>
    </w:p>
    <w:p w:rsidR="00B40A83" w:rsidRDefault="00B40A83" w:rsidP="00B40A83">
      <w:pPr>
        <w:pStyle w:val="Geenafstand"/>
        <w:numPr>
          <w:ilvl w:val="1"/>
          <w:numId w:val="3"/>
        </w:numPr>
      </w:pPr>
      <w:r>
        <w:rPr>
          <w:color w:val="FF0000"/>
        </w:rPr>
        <w:t xml:space="preserve">Kredietwaardering </w:t>
      </w:r>
      <w:r>
        <w:t xml:space="preserve">hoog = </w:t>
      </w:r>
      <w:r>
        <w:rPr>
          <w:color w:val="FF0000"/>
        </w:rPr>
        <w:t xml:space="preserve">kredietrisico </w:t>
      </w:r>
      <w:r>
        <w:t>laag</w:t>
      </w:r>
    </w:p>
    <w:p w:rsidR="00B40A83" w:rsidRDefault="00B40A83" w:rsidP="00B40A83">
      <w:pPr>
        <w:pStyle w:val="Geenafstand"/>
        <w:numPr>
          <w:ilvl w:val="0"/>
          <w:numId w:val="3"/>
        </w:numPr>
      </w:pPr>
      <w:r w:rsidRPr="00B40A83">
        <w:rPr>
          <w:color w:val="FF0000"/>
        </w:rPr>
        <w:t>Koersen en rendementen aandelen</w:t>
      </w:r>
    </w:p>
    <w:p w:rsidR="00B40A83" w:rsidRDefault="00B40A83" w:rsidP="00B40A83">
      <w:pPr>
        <w:pStyle w:val="Geenafstand"/>
        <w:numPr>
          <w:ilvl w:val="1"/>
          <w:numId w:val="3"/>
        </w:numPr>
      </w:pPr>
      <w:r>
        <w:t xml:space="preserve">Aandeelhouder = deel eigen vermogen bedrijf, krijgt dus </w:t>
      </w:r>
      <w:r>
        <w:rPr>
          <w:color w:val="FF0000"/>
        </w:rPr>
        <w:t xml:space="preserve">dividend </w:t>
      </w:r>
      <w:r>
        <w:t>(winstuitkering)</w:t>
      </w:r>
    </w:p>
    <w:p w:rsidR="00B40A83" w:rsidRPr="00B40A83" w:rsidRDefault="00B40A83" w:rsidP="00B40A83">
      <w:pPr>
        <w:pStyle w:val="Geenafstand"/>
        <w:numPr>
          <w:ilvl w:val="0"/>
          <w:numId w:val="3"/>
        </w:numPr>
      </w:pPr>
      <w:r>
        <w:rPr>
          <w:color w:val="FF0000"/>
        </w:rPr>
        <w:t xml:space="preserve">Resterende duur tot einddatum </w:t>
      </w:r>
    </w:p>
    <w:p w:rsidR="00B40A83" w:rsidRDefault="00B40A83" w:rsidP="00B40A83">
      <w:pPr>
        <w:pStyle w:val="Geenafstand"/>
        <w:rPr>
          <w:color w:val="FF0000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B40A83" w:rsidTr="00B40A83">
        <w:tc>
          <w:tcPr>
            <w:tcW w:w="4606" w:type="dxa"/>
          </w:tcPr>
          <w:p w:rsidR="00B40A83" w:rsidRPr="00B40A83" w:rsidRDefault="00B40A83" w:rsidP="00B40A83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Obligaties</w:t>
            </w:r>
          </w:p>
        </w:tc>
        <w:tc>
          <w:tcPr>
            <w:tcW w:w="4606" w:type="dxa"/>
          </w:tcPr>
          <w:p w:rsidR="00B40A83" w:rsidRPr="00B40A83" w:rsidRDefault="00B40A83" w:rsidP="00B40A83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Aandelen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Obligatiehouder ontvangt vast bedrag rente per obligatie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Aandeelhouder ontvangt winstuitkering (dividend)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Obligatie is een schuldbekentenis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Aandeel is een deel eigen vermogen van organisatie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Lening wordt (meestal) afgelost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Eigen vermogen wordt niet afgelost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Obligatiehouder heeft geen zeggenschap in de organisatie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Aandeelhouder heeft zeggenschap in de organisatie</w:t>
            </w:r>
          </w:p>
        </w:tc>
      </w:tr>
      <w:tr w:rsidR="00B40A83" w:rsidTr="00B40A83"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Obligatiekoersen zijn relatief stabiel, omdat renteopbrengst stabiel is voor de belegger</w:t>
            </w:r>
          </w:p>
        </w:tc>
        <w:tc>
          <w:tcPr>
            <w:tcW w:w="4606" w:type="dxa"/>
          </w:tcPr>
          <w:p w:rsidR="00B40A83" w:rsidRDefault="00B40A83" w:rsidP="00B40A83">
            <w:pPr>
              <w:pStyle w:val="Geenafstand"/>
            </w:pPr>
            <w:r>
              <w:t>Aandeelkoersen zijn relatief beweeglijk, omdat de winst(verwachtingen) van een bedrijf sterk kunnen wisselen</w:t>
            </w:r>
          </w:p>
        </w:tc>
      </w:tr>
    </w:tbl>
    <w:p w:rsidR="00B40A83" w:rsidRDefault="00B40A83" w:rsidP="00B40A83">
      <w:pPr>
        <w:pStyle w:val="Geenafstand"/>
      </w:pPr>
    </w:p>
    <w:p w:rsidR="00B40A83" w:rsidRDefault="00B40A83" w:rsidP="00B40A83">
      <w:pPr>
        <w:pStyle w:val="Geenafstand"/>
      </w:pPr>
      <w:r>
        <w:t>Hoe verdien je geld met obligaties?</w:t>
      </w:r>
    </w:p>
    <w:p w:rsidR="00B40A83" w:rsidRDefault="00B40A83" w:rsidP="00B40A83">
      <w:pPr>
        <w:pStyle w:val="Geenafstand"/>
        <w:numPr>
          <w:ilvl w:val="0"/>
          <w:numId w:val="3"/>
        </w:numPr>
      </w:pPr>
      <w:r>
        <w:t>Ontvangen van jaarlijkse rente</w:t>
      </w:r>
    </w:p>
    <w:p w:rsidR="00B40A83" w:rsidRDefault="00B40A83" w:rsidP="00B40A83">
      <w:pPr>
        <w:pStyle w:val="Geenafstand"/>
        <w:numPr>
          <w:ilvl w:val="0"/>
          <w:numId w:val="3"/>
        </w:numPr>
      </w:pPr>
      <w:r>
        <w:t>Koerswinst/verlies door verschil in aankoop- en verkoopprijs</w:t>
      </w:r>
    </w:p>
    <w:p w:rsidR="00B40A83" w:rsidRDefault="00B40A83" w:rsidP="00B40A83">
      <w:pPr>
        <w:pStyle w:val="Geenafstand"/>
        <w:rPr>
          <w:b/>
          <w:sz w:val="24"/>
        </w:rPr>
      </w:pPr>
    </w:p>
    <w:p w:rsidR="008A6A34" w:rsidRDefault="008A6A34" w:rsidP="00B40A83">
      <w:pPr>
        <w:pStyle w:val="Geenafstand"/>
        <w:rPr>
          <w:b/>
          <w:sz w:val="24"/>
        </w:rPr>
      </w:pPr>
      <w:r>
        <w:rPr>
          <w:b/>
          <w:sz w:val="24"/>
        </w:rPr>
        <w:t xml:space="preserve">§11.1 Hypothecaire lening </w:t>
      </w:r>
    </w:p>
    <w:p w:rsidR="008A6A34" w:rsidRDefault="008A6A34" w:rsidP="00B40A83">
      <w:pPr>
        <w:pStyle w:val="Geenafstand"/>
      </w:pPr>
    </w:p>
    <w:p w:rsidR="008A6A34" w:rsidRDefault="008A6A34" w:rsidP="00B40A83">
      <w:pPr>
        <w:pStyle w:val="Geenafstand"/>
      </w:pPr>
      <w:r>
        <w:rPr>
          <w:color w:val="FF0000"/>
        </w:rPr>
        <w:t xml:space="preserve">Onroerende zaak/registergoed </w:t>
      </w:r>
      <w:r>
        <w:t xml:space="preserve">het gebouw en alles wat daarbij hoort 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Kadaster </w:t>
      </w:r>
      <w:r>
        <w:t>houdt register bij van alle registergoeden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Makelaar </w:t>
      </w:r>
      <w:r>
        <w:t>schat de waarde van een pand (</w:t>
      </w:r>
      <w:r>
        <w:rPr>
          <w:color w:val="FF0000"/>
        </w:rPr>
        <w:t>taxeren</w:t>
      </w:r>
      <w:r>
        <w:t xml:space="preserve">) en probeert kopers te interesseren via advertenties etc. 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Courtage </w:t>
      </w:r>
      <w:r>
        <w:t xml:space="preserve">beloning die de makelaar hierbij ontvangt 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Transportakte </w:t>
      </w:r>
      <w:r>
        <w:t>definitief contract tussen koper en verkoper over prijs en bijbehorende voorwaarden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Overdrachtsbelasting </w:t>
      </w:r>
      <w:r>
        <w:t>te betalen bij de koop van een bestaand bedrijfspand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Hypothecaire lening </w:t>
      </w:r>
      <w:r>
        <w:t xml:space="preserve">lening met registergoed als onderpand 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Hypotheekgever </w:t>
      </w:r>
      <w:r>
        <w:t>eigenaar die zijn registergoed als onderpand voor hypotheek geeft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Hypotheeknemer </w:t>
      </w:r>
      <w:r>
        <w:t>financiële instelling die lening verstrekt (vaak de bank)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Recht van hypotheek </w:t>
      </w:r>
      <w:r>
        <w:t xml:space="preserve">als je de aflossing niet kunt betalen heeft de hypotheeknemer het recht het onderpand te verkopen. Als dit niet voldoende opbrengt, blijft er een </w:t>
      </w:r>
      <w:r>
        <w:rPr>
          <w:color w:val="FF0000"/>
        </w:rPr>
        <w:t xml:space="preserve">restschuld </w:t>
      </w:r>
      <w:r>
        <w:t>over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Hypotheekrenteaftrek </w:t>
      </w:r>
      <w:r>
        <w:t xml:space="preserve">de interestkosten mag je van het inkomen aftrekken, dus hoef je minder belasting te betalen 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Eigenwoningforfait </w:t>
      </w:r>
      <w:r>
        <w:t>toegerekend inkomen aan huiseigenaren (afhankelijk van de WOZ waarde)</w:t>
      </w:r>
    </w:p>
    <w:p w:rsidR="008A6A34" w:rsidRDefault="008A6A34" w:rsidP="00B40A83">
      <w:pPr>
        <w:pStyle w:val="Geenafstand"/>
      </w:pPr>
      <w:r>
        <w:rPr>
          <w:color w:val="FF0000"/>
        </w:rPr>
        <w:t xml:space="preserve">Onroerendezaakbelasting </w:t>
      </w:r>
      <w:r>
        <w:t xml:space="preserve">gemeentelijke belasting over de WOZ waarde van het pand </w:t>
      </w:r>
    </w:p>
    <w:p w:rsidR="008A6A34" w:rsidRDefault="008A6A34" w:rsidP="00B40A83">
      <w:pPr>
        <w:pStyle w:val="Geenafstand"/>
      </w:pPr>
    </w:p>
    <w:p w:rsidR="008A6A34" w:rsidRDefault="008A6A34" w:rsidP="00B40A83">
      <w:pPr>
        <w:pStyle w:val="Geenafstand"/>
        <w:rPr>
          <w:b/>
          <w:sz w:val="24"/>
        </w:rPr>
      </w:pPr>
      <w:r>
        <w:rPr>
          <w:b/>
          <w:sz w:val="24"/>
        </w:rPr>
        <w:lastRenderedPageBreak/>
        <w:t>§11.2 Lineaire hypotheek</w:t>
      </w:r>
    </w:p>
    <w:p w:rsidR="008A6A34" w:rsidRDefault="008A6A34" w:rsidP="00B40A83">
      <w:pPr>
        <w:pStyle w:val="Geenafstand"/>
      </w:pPr>
    </w:p>
    <w:p w:rsidR="008A6A34" w:rsidRDefault="008A6A34" w:rsidP="008A6A34">
      <w:pPr>
        <w:pStyle w:val="Geenafstand"/>
        <w:numPr>
          <w:ilvl w:val="0"/>
          <w:numId w:val="3"/>
        </w:numPr>
      </w:pPr>
      <w:r>
        <w:t>Je lost ieder jaar hetzelfde bedrag af → ieder jaar hoe</w:t>
      </w:r>
      <w:r w:rsidR="00F63641">
        <w:t>f je minder interest te betalen→ hierdoor daalt je belastingvoordeel</w:t>
      </w:r>
    </w:p>
    <w:p w:rsidR="00F63641" w:rsidRDefault="00F63641" w:rsidP="00F63641">
      <w:pPr>
        <w:pStyle w:val="Geenafstand"/>
        <w:ind w:left="360"/>
      </w:pPr>
      <w:r>
        <w:rPr>
          <w:color w:val="FF0000"/>
        </w:rPr>
        <w:t xml:space="preserve">Nettohypotheeklasten </w:t>
      </w:r>
      <w:r>
        <w:t xml:space="preserve">aflossing + interestkosten – belastingvoordeel </w:t>
      </w:r>
    </w:p>
    <w:tbl>
      <w:tblPr>
        <w:tblStyle w:val="Tabelraster"/>
        <w:tblW w:w="0" w:type="auto"/>
        <w:tblInd w:w="360" w:type="dxa"/>
        <w:tblLook w:val="04A0"/>
      </w:tblPr>
      <w:tblGrid>
        <w:gridCol w:w="4465"/>
        <w:gridCol w:w="4463"/>
      </w:tblGrid>
      <w:tr w:rsidR="00F63641" w:rsidTr="00F63641">
        <w:tc>
          <w:tcPr>
            <w:tcW w:w="4606" w:type="dxa"/>
          </w:tcPr>
          <w:p w:rsidR="00F63641" w:rsidRPr="00F63641" w:rsidRDefault="00F63641" w:rsidP="00F6364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Voordelen </w:t>
            </w:r>
          </w:p>
        </w:tc>
        <w:tc>
          <w:tcPr>
            <w:tcW w:w="4606" w:type="dxa"/>
          </w:tcPr>
          <w:p w:rsidR="00F63641" w:rsidRPr="00F63641" w:rsidRDefault="00F63641" w:rsidP="00F6364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Nadelen </w:t>
            </w: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Eenvoudige, duidelijke hypotheekvorm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 xml:space="preserve">Hypotheeklasten in het begin relatief hoog </w:t>
            </w: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Je lost elk jaar een vast bedrag af waardoor hypotheeklasten jaarlijks afnemen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in de loop der jaren neemt het belastingvoordeel af</w:t>
            </w: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Geleend bedrag is geheel afgelost als de hypotheek afloopt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 xml:space="preserve">Je betaald in totaal minder interest dan bij andere hypotheekvormen 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</w:p>
        </w:tc>
      </w:tr>
    </w:tbl>
    <w:p w:rsidR="00F63641" w:rsidRPr="00F63641" w:rsidRDefault="00F63641" w:rsidP="00F63641">
      <w:pPr>
        <w:pStyle w:val="Geenafstand"/>
        <w:ind w:left="360"/>
      </w:pPr>
    </w:p>
    <w:p w:rsidR="008A6A34" w:rsidRDefault="00F63641" w:rsidP="00B40A83">
      <w:pPr>
        <w:pStyle w:val="Geenafstand"/>
        <w:rPr>
          <w:b/>
          <w:sz w:val="24"/>
        </w:rPr>
      </w:pPr>
      <w:r>
        <w:rPr>
          <w:b/>
          <w:sz w:val="24"/>
        </w:rPr>
        <w:t>§11.3 Annuïteitenhypotheek</w:t>
      </w:r>
    </w:p>
    <w:p w:rsidR="00F63641" w:rsidRDefault="00F63641" w:rsidP="00B40A83">
      <w:pPr>
        <w:pStyle w:val="Geenafstand"/>
      </w:pPr>
    </w:p>
    <w:p w:rsidR="00F63641" w:rsidRDefault="00F63641" w:rsidP="00F63641">
      <w:pPr>
        <w:pStyle w:val="Geenafstand"/>
        <w:numPr>
          <w:ilvl w:val="0"/>
          <w:numId w:val="3"/>
        </w:numPr>
      </w:pPr>
      <w:r>
        <w:t>Je betaald ieder jaar een vast bedrag aan aflossing en interest samen</w:t>
      </w:r>
    </w:p>
    <w:p w:rsidR="00F63641" w:rsidRDefault="00F63641" w:rsidP="00F63641">
      <w:pPr>
        <w:pStyle w:val="Geenafstand"/>
        <w:numPr>
          <w:ilvl w:val="1"/>
          <w:numId w:val="3"/>
        </w:numPr>
      </w:pPr>
      <w:r>
        <w:t>Aan het begin veel interest en weinig aflossing</w:t>
      </w:r>
    </w:p>
    <w:p w:rsidR="00F63641" w:rsidRDefault="00F63641" w:rsidP="00F63641">
      <w:pPr>
        <w:pStyle w:val="Geenafstand"/>
        <w:numPr>
          <w:ilvl w:val="1"/>
          <w:numId w:val="3"/>
        </w:numPr>
      </w:pPr>
      <w:r>
        <w:t>Aan het einde weinig interest en veel aflossing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63641" w:rsidTr="00F63641">
        <w:tc>
          <w:tcPr>
            <w:tcW w:w="4606" w:type="dxa"/>
          </w:tcPr>
          <w:p w:rsidR="00F63641" w:rsidRPr="00F63641" w:rsidRDefault="00F63641" w:rsidP="00F6364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Voordelen</w:t>
            </w:r>
          </w:p>
        </w:tc>
        <w:tc>
          <w:tcPr>
            <w:tcW w:w="4606" w:type="dxa"/>
          </w:tcPr>
          <w:p w:rsidR="00F63641" w:rsidRPr="00F63641" w:rsidRDefault="00F63641" w:rsidP="00F6364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Nadelen </w:t>
            </w: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Eenvoudige, duidelijke hypotheekvorm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Door daling van je belastingvoordeel worden nettohypotheeklasten steeds hoger</w:t>
            </w: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In het begin relatief veel belastingvoordeel en relatief lage nettolasten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 xml:space="preserve">In het begin los je nauwelijks af, waardoor de schuld hoog blijft. </w:t>
            </w: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Geleend bedrag is geheel afgelost als de hypotheek afloopt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 xml:space="preserve">Je betaalt meer interest dan bij een hypotheek waar je een vast bedrag ex. interest aflost </w:t>
            </w:r>
          </w:p>
        </w:tc>
      </w:tr>
    </w:tbl>
    <w:p w:rsidR="00F63641" w:rsidRPr="00F63641" w:rsidRDefault="00F63641" w:rsidP="00F63641">
      <w:pPr>
        <w:pStyle w:val="Geenafstand"/>
      </w:pPr>
    </w:p>
    <w:p w:rsidR="008A6A34" w:rsidRDefault="00F63641" w:rsidP="00B40A83">
      <w:pPr>
        <w:pStyle w:val="Geenafstand"/>
        <w:rPr>
          <w:b/>
          <w:sz w:val="24"/>
        </w:rPr>
      </w:pPr>
      <w:r>
        <w:rPr>
          <w:b/>
          <w:sz w:val="24"/>
        </w:rPr>
        <w:t>§11.4 Spaarhypotheek</w:t>
      </w:r>
    </w:p>
    <w:p w:rsidR="00F63641" w:rsidRDefault="00F63641" w:rsidP="00B40A83">
      <w:pPr>
        <w:pStyle w:val="Geenafstand"/>
      </w:pPr>
    </w:p>
    <w:p w:rsidR="00F63641" w:rsidRDefault="00F63641" w:rsidP="00F63641">
      <w:pPr>
        <w:pStyle w:val="Geenafstand"/>
        <w:numPr>
          <w:ilvl w:val="0"/>
          <w:numId w:val="3"/>
        </w:numPr>
      </w:pPr>
      <w:r>
        <w:t>Tussentijds geen aflossing, maar je betaalt na ieder jaar spaarpremie op een geblokkeerde spaarrekening waar je samengestelde interest over ontvangt</w:t>
      </w:r>
    </w:p>
    <w:p w:rsidR="00F63641" w:rsidRDefault="00F63641" w:rsidP="00F63641">
      <w:pPr>
        <w:pStyle w:val="Geenafstand"/>
        <w:numPr>
          <w:ilvl w:val="0"/>
          <w:numId w:val="3"/>
        </w:numPr>
      </w:pPr>
      <w:r>
        <w:t xml:space="preserve">Het bedrag van alle spaarpremies en de ontvangen interest is aan het einde genoeg om in één keer af te lossen </w:t>
      </w:r>
    </w:p>
    <w:p w:rsidR="00F63641" w:rsidRDefault="00F63641" w:rsidP="00F63641">
      <w:pPr>
        <w:pStyle w:val="Geenafstand"/>
        <w:numPr>
          <w:ilvl w:val="0"/>
          <w:numId w:val="3"/>
        </w:numPr>
      </w:pPr>
      <w:r>
        <w:t>Interestkosten blijven hoog omdat je niets aflost</w:t>
      </w:r>
    </w:p>
    <w:p w:rsidR="00F63641" w:rsidRDefault="00F63641" w:rsidP="00F63641">
      <w:pPr>
        <w:pStyle w:val="Geenafstand"/>
        <w:numPr>
          <w:ilvl w:val="0"/>
          <w:numId w:val="3"/>
        </w:numPr>
      </w:pPr>
      <w:r>
        <w:t>Na 1 januari 2013 afgesloten = geen hypotheekrenteaftrek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63641" w:rsidTr="00F63641">
        <w:tc>
          <w:tcPr>
            <w:tcW w:w="4606" w:type="dxa"/>
          </w:tcPr>
          <w:p w:rsidR="00F63641" w:rsidRPr="00F63641" w:rsidRDefault="00F63641" w:rsidP="00F6364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Voordelen </w:t>
            </w:r>
          </w:p>
        </w:tc>
        <w:tc>
          <w:tcPr>
            <w:tcW w:w="4606" w:type="dxa"/>
          </w:tcPr>
          <w:p w:rsidR="00F63641" w:rsidRPr="00F63641" w:rsidRDefault="00F63641" w:rsidP="00F6364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Nadelen</w:t>
            </w: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Je weet zeker dat je het complete bedrag bij elkaar spaar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Na 1 januari 2013 geen hypotheekrenteaftrek meer voor deze hypotheekvorm</w:t>
            </w:r>
          </w:p>
        </w:tc>
      </w:tr>
      <w:tr w:rsidR="00F63641" w:rsidTr="00F63641"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>Spaargeld voor aflossing hypotheek is belastingvrij</w:t>
            </w:r>
          </w:p>
        </w:tc>
        <w:tc>
          <w:tcPr>
            <w:tcW w:w="4606" w:type="dxa"/>
          </w:tcPr>
          <w:p w:rsidR="00F63641" w:rsidRDefault="00F63641" w:rsidP="00F63641">
            <w:pPr>
              <w:pStyle w:val="Geenafstand"/>
            </w:pPr>
            <w:r>
              <w:t xml:space="preserve">Sinds 2013 relatief duur uit in vergelijking met ander hypotheekvormen </w:t>
            </w:r>
          </w:p>
        </w:tc>
      </w:tr>
    </w:tbl>
    <w:p w:rsidR="00F63641" w:rsidRDefault="00F63641" w:rsidP="00F63641">
      <w:pPr>
        <w:pStyle w:val="Geenafstand"/>
      </w:pPr>
    </w:p>
    <w:p w:rsidR="00F63641" w:rsidRDefault="00186F12" w:rsidP="00F63641">
      <w:pPr>
        <w:pStyle w:val="Geenafstand"/>
        <w:rPr>
          <w:b/>
          <w:sz w:val="24"/>
        </w:rPr>
      </w:pPr>
      <w:r>
        <w:rPr>
          <w:b/>
          <w:sz w:val="24"/>
        </w:rPr>
        <w:t>§12.1 Consumptief krediet</w:t>
      </w:r>
    </w:p>
    <w:p w:rsidR="00186F12" w:rsidRDefault="00186F12" w:rsidP="00F63641">
      <w:pPr>
        <w:pStyle w:val="Geenafstand"/>
      </w:pPr>
      <w:r>
        <w:t xml:space="preserve"> </w:t>
      </w:r>
    </w:p>
    <w:p w:rsidR="00186F12" w:rsidRDefault="00186F12" w:rsidP="00F63641">
      <w:pPr>
        <w:pStyle w:val="Geenafstand"/>
      </w:pPr>
      <w:r>
        <w:rPr>
          <w:color w:val="FF0000"/>
        </w:rPr>
        <w:t xml:space="preserve">Consumptief krediet </w:t>
      </w:r>
      <w:r>
        <w:t xml:space="preserve">kortlopende leningen aan consumenten </w:t>
      </w:r>
    </w:p>
    <w:p w:rsidR="00186F12" w:rsidRDefault="00186F12" w:rsidP="00F63641">
      <w:pPr>
        <w:pStyle w:val="Geenafstand"/>
      </w:pPr>
    </w:p>
    <w:p w:rsidR="00186F12" w:rsidRDefault="00186F12" w:rsidP="00F63641">
      <w:pPr>
        <w:pStyle w:val="Geenafstand"/>
      </w:pPr>
      <w:r>
        <w:t>Maximum leenbedrag hangt af van:</w:t>
      </w:r>
    </w:p>
    <w:p w:rsidR="00186F12" w:rsidRDefault="00186F12" w:rsidP="00186F12">
      <w:pPr>
        <w:pStyle w:val="Geenafstand"/>
        <w:numPr>
          <w:ilvl w:val="0"/>
          <w:numId w:val="3"/>
        </w:numPr>
      </w:pPr>
      <w:r>
        <w:t>Hoogte inkomen in verhouding met maandelijkse kosten</w:t>
      </w:r>
    </w:p>
    <w:p w:rsidR="00186F12" w:rsidRDefault="00186F12" w:rsidP="00186F12">
      <w:pPr>
        <w:pStyle w:val="Geenafstand"/>
        <w:numPr>
          <w:ilvl w:val="0"/>
          <w:numId w:val="3"/>
        </w:numPr>
      </w:pPr>
      <w:r>
        <w:t>Aantal andere leningen dat je hebt uitstaan</w:t>
      </w:r>
    </w:p>
    <w:p w:rsidR="00186F12" w:rsidRDefault="00186F12" w:rsidP="00186F12">
      <w:pPr>
        <w:pStyle w:val="Geenafstand"/>
        <w:numPr>
          <w:ilvl w:val="0"/>
          <w:numId w:val="3"/>
        </w:numPr>
      </w:pPr>
      <w:r>
        <w:t>Hoogte interestpercentage</w:t>
      </w:r>
    </w:p>
    <w:p w:rsidR="00186F12" w:rsidRDefault="00186F12" w:rsidP="00186F12">
      <w:pPr>
        <w:pStyle w:val="Geenafstand"/>
      </w:pPr>
    </w:p>
    <w:p w:rsidR="00186F12" w:rsidRDefault="00186F12" w:rsidP="00186F12">
      <w:pPr>
        <w:pStyle w:val="Geenafstand"/>
        <w:rPr>
          <w:color w:val="FF0000"/>
        </w:rPr>
      </w:pPr>
      <w:r>
        <w:rPr>
          <w:color w:val="FF0000"/>
        </w:rPr>
        <w:lastRenderedPageBreak/>
        <w:t xml:space="preserve">Jaarlijks kostenpercentage </w:t>
      </w:r>
      <w:r>
        <w:t xml:space="preserve">interestpercentage plus percentage dat je per jaar werkelijk betaalt, ook wel: </w:t>
      </w:r>
      <w:r>
        <w:rPr>
          <w:color w:val="FF0000"/>
        </w:rPr>
        <w:t>effectief rentepercentage</w:t>
      </w:r>
    </w:p>
    <w:p w:rsidR="00186F12" w:rsidRDefault="00186F12" w:rsidP="00186F12">
      <w:pPr>
        <w:pStyle w:val="Geenafstand"/>
      </w:pPr>
      <w:r>
        <w:rPr>
          <w:color w:val="FF0000"/>
        </w:rPr>
        <w:t xml:space="preserve">Maximum interestpercentage </w:t>
      </w:r>
      <w:r>
        <w:t>geldt voor consumptieve kredieten &lt;€40.000. Het maximale is wettelijke rente + 12 procentpunt</w:t>
      </w:r>
    </w:p>
    <w:p w:rsidR="00186F12" w:rsidRDefault="00186F12" w:rsidP="00186F12">
      <w:pPr>
        <w:pStyle w:val="Geenafstand"/>
      </w:pPr>
    </w:p>
    <w:p w:rsidR="00186F12" w:rsidRPr="00186F12" w:rsidRDefault="00186F12" w:rsidP="00186F12">
      <w:pPr>
        <w:pStyle w:val="Geenafstand"/>
      </w:pPr>
      <w:r>
        <w:rPr>
          <w:color w:val="FF0000"/>
        </w:rPr>
        <w:t xml:space="preserve">Persoonlijke lening </w:t>
      </w:r>
      <w:r>
        <w:t xml:space="preserve">een banklening aan een consument waarbij de consument het bedrag in één keer ontvangt en maandelijks een vast bedrag aan aflossing en interest betaalt tot het einde van de looptijd. 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86F12" w:rsidTr="00186F12">
        <w:tc>
          <w:tcPr>
            <w:tcW w:w="4606" w:type="dxa"/>
          </w:tcPr>
          <w:p w:rsidR="00186F12" w:rsidRPr="00186F12" w:rsidRDefault="00186F12" w:rsidP="00186F1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Voordelen </w:t>
            </w:r>
          </w:p>
        </w:tc>
        <w:tc>
          <w:tcPr>
            <w:tcW w:w="4606" w:type="dxa"/>
          </w:tcPr>
          <w:p w:rsidR="00186F12" w:rsidRPr="00186F12" w:rsidRDefault="00186F12" w:rsidP="00186F1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Nadelen</w:t>
            </w:r>
          </w:p>
        </w:tc>
      </w:tr>
      <w:tr w:rsidR="00186F12" w:rsidTr="00186F12"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Je lost de lening helemaal af</w:t>
            </w:r>
          </w:p>
        </w:tc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Een eenmaal afgelost bedrag kun je niet opnieuw lenen</w:t>
            </w:r>
          </w:p>
        </w:tc>
      </w:tr>
      <w:tr w:rsidR="00186F12" w:rsidTr="00186F12"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Je hebt elke maand dezelfde lasten</w:t>
            </w:r>
          </w:p>
        </w:tc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Geen ruimte om financiële tegenvallers op te vangen</w:t>
            </w:r>
          </w:p>
        </w:tc>
      </w:tr>
      <w:tr w:rsidR="00186F12" w:rsidTr="00186F12"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Als de gebruiksduur van je consumptiegoed ten einde is, is meestal ook de lening afgelost</w:t>
            </w:r>
          </w:p>
        </w:tc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Meestal een dure vorm van krediet</w:t>
            </w:r>
          </w:p>
          <w:p w:rsidR="00186F12" w:rsidRDefault="00186F12" w:rsidP="00186F12">
            <w:pPr>
              <w:pStyle w:val="Geenafstand"/>
            </w:pPr>
          </w:p>
        </w:tc>
      </w:tr>
    </w:tbl>
    <w:p w:rsidR="00186F12" w:rsidRDefault="00186F12" w:rsidP="00186F12">
      <w:pPr>
        <w:pStyle w:val="Geenafstand"/>
      </w:pPr>
    </w:p>
    <w:p w:rsidR="00186F12" w:rsidRDefault="00186F12" w:rsidP="00186F12">
      <w:pPr>
        <w:pStyle w:val="Geenafstand"/>
      </w:pPr>
      <w:r>
        <w:rPr>
          <w:color w:val="FF0000"/>
        </w:rPr>
        <w:t xml:space="preserve">Doorlopend krediet </w:t>
      </w:r>
      <w:r>
        <w:t>een banklening aan een consument waarbij de consument geld kan opnemen tot een bepaald maximum (</w:t>
      </w:r>
      <w:r>
        <w:rPr>
          <w:color w:val="FF0000"/>
        </w:rPr>
        <w:t>kredietlimiet/kredietplafond</w:t>
      </w:r>
      <w:r>
        <w:t>) en waarbij de kredietnemer afgeloste bedragen opnieuw kan opnemen</w:t>
      </w:r>
    </w:p>
    <w:p w:rsidR="00186F12" w:rsidRDefault="00186F12" w:rsidP="00186F12">
      <w:pPr>
        <w:pStyle w:val="Geenafstand"/>
      </w:pPr>
      <w:r>
        <w:rPr>
          <w:color w:val="FF0000"/>
        </w:rPr>
        <w:t xml:space="preserve">Depositoruimte </w:t>
      </w:r>
      <w:r>
        <w:t>het bedrag dat de kredietnemer op een bepaald moment nog kan opnemen</w:t>
      </w:r>
    </w:p>
    <w:p w:rsidR="00186F12" w:rsidRDefault="00186F12" w:rsidP="00186F12">
      <w:pPr>
        <w:pStyle w:val="Geenafstand"/>
        <w:rPr>
          <w:color w:val="FF0000"/>
        </w:rPr>
      </w:pPr>
      <w:r>
        <w:t xml:space="preserve">Meestal is een doorlopend krediet op een aparte rekening, maar het kan ook op de eigen betaalrekening, dan kom je rood te staan en noem je het </w:t>
      </w:r>
      <w:r>
        <w:rPr>
          <w:color w:val="FF0000"/>
        </w:rPr>
        <w:t>rekening-courant krediet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86F12" w:rsidTr="00186F12">
        <w:tc>
          <w:tcPr>
            <w:tcW w:w="4606" w:type="dxa"/>
          </w:tcPr>
          <w:p w:rsidR="00186F12" w:rsidRDefault="00186F12" w:rsidP="00186F1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Voordelen</w:t>
            </w:r>
          </w:p>
        </w:tc>
        <w:tc>
          <w:tcPr>
            <w:tcW w:w="4606" w:type="dxa"/>
          </w:tcPr>
          <w:p w:rsidR="00186F12" w:rsidRDefault="00186F12" w:rsidP="00186F1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Nadelen </w:t>
            </w:r>
          </w:p>
        </w:tc>
      </w:tr>
      <w:tr w:rsidR="00186F12" w:rsidTr="00186F12">
        <w:tc>
          <w:tcPr>
            <w:tcW w:w="4606" w:type="dxa"/>
          </w:tcPr>
          <w:p w:rsidR="00186F12" w:rsidRPr="00186F12" w:rsidRDefault="00186F12" w:rsidP="00186F12">
            <w:pPr>
              <w:pStyle w:val="Geenafstand"/>
            </w:pPr>
            <w:r>
              <w:t>Eenmalige afgeloste bedragen kun je opnieuw lenen</w:t>
            </w:r>
          </w:p>
        </w:tc>
        <w:tc>
          <w:tcPr>
            <w:tcW w:w="4606" w:type="dxa"/>
          </w:tcPr>
          <w:p w:rsidR="00186F12" w:rsidRPr="00186F12" w:rsidRDefault="00186F12" w:rsidP="00186F12">
            <w:pPr>
              <w:pStyle w:val="Geenafstand"/>
            </w:pPr>
            <w:r>
              <w:t>Lost de lening mogelijk niet af</w:t>
            </w:r>
          </w:p>
        </w:tc>
      </w:tr>
      <w:tr w:rsidR="00186F12" w:rsidTr="00186F12">
        <w:tc>
          <w:tcPr>
            <w:tcW w:w="4606" w:type="dxa"/>
          </w:tcPr>
          <w:p w:rsidR="00186F12" w:rsidRPr="00186F12" w:rsidRDefault="00186F12" w:rsidP="00186F12">
            <w:pPr>
              <w:pStyle w:val="Geenafstand"/>
            </w:pPr>
            <w:r>
              <w:t>Je kunt financiële tegenvallers tijdelijk gemakkelijk opvangen</w:t>
            </w:r>
          </w:p>
        </w:tc>
        <w:tc>
          <w:tcPr>
            <w:tcW w:w="4606" w:type="dxa"/>
          </w:tcPr>
          <w:p w:rsidR="00186F12" w:rsidRPr="00186F12" w:rsidRDefault="00186F12" w:rsidP="00186F12">
            <w:pPr>
              <w:pStyle w:val="Geenafstand"/>
            </w:pPr>
            <w:r>
              <w:t>Rentelasten kunnen variëren</w:t>
            </w:r>
          </w:p>
        </w:tc>
      </w:tr>
      <w:tr w:rsidR="00186F12" w:rsidTr="00186F12"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Je betaalt alleen interest over het opgenomen bedrag</w:t>
            </w:r>
          </w:p>
        </w:tc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Geen relatie tussen gebruikersduur van product en het geleende bedrag</w:t>
            </w:r>
          </w:p>
        </w:tc>
      </w:tr>
      <w:tr w:rsidR="00186F12" w:rsidTr="00186F12">
        <w:tc>
          <w:tcPr>
            <w:tcW w:w="4606" w:type="dxa"/>
          </w:tcPr>
          <w:p w:rsidR="00186F12" w:rsidRDefault="00186F12" w:rsidP="00186F12">
            <w:pPr>
              <w:pStyle w:val="Geenafstand"/>
            </w:pPr>
          </w:p>
        </w:tc>
        <w:tc>
          <w:tcPr>
            <w:tcW w:w="4606" w:type="dxa"/>
          </w:tcPr>
          <w:p w:rsidR="00186F12" w:rsidRDefault="00186F12" w:rsidP="00186F12">
            <w:pPr>
              <w:pStyle w:val="Geenafstand"/>
            </w:pPr>
            <w:r>
              <w:t>Meestal een dure vorm van krediet</w:t>
            </w:r>
          </w:p>
        </w:tc>
      </w:tr>
    </w:tbl>
    <w:p w:rsidR="00186F12" w:rsidRDefault="00186F12" w:rsidP="00186F12">
      <w:pPr>
        <w:pStyle w:val="Geenafstand"/>
        <w:rPr>
          <w:color w:val="FF0000"/>
        </w:rPr>
      </w:pPr>
    </w:p>
    <w:p w:rsidR="000E5950" w:rsidRDefault="000E5950" w:rsidP="00186F12">
      <w:pPr>
        <w:pStyle w:val="Geenafstand"/>
      </w:pPr>
      <w:r>
        <w:rPr>
          <w:color w:val="FF0000"/>
        </w:rPr>
        <w:t xml:space="preserve">Koop op afbetaling </w:t>
      </w:r>
      <w:r>
        <w:t xml:space="preserve">een aankoop met daaraan gekoppeld een krediet van de leverancier, </w:t>
      </w:r>
      <w:proofErr w:type="gramStart"/>
      <w:r>
        <w:t>waarbij</w:t>
      </w:r>
      <w:proofErr w:type="gramEnd"/>
      <w:r>
        <w:t xml:space="preserve"> de consument bij aankoop onmiddellijk eigenaar wordt van het product en het product in termijnen terugbetaald aan de leverancier</w:t>
      </w:r>
    </w:p>
    <w:p w:rsidR="000E5950" w:rsidRDefault="000E5950" w:rsidP="00186F12">
      <w:pPr>
        <w:pStyle w:val="Geenafstand"/>
      </w:pPr>
      <w:r>
        <w:rPr>
          <w:color w:val="FF0000"/>
        </w:rPr>
        <w:t xml:space="preserve">Aanbetaling </w:t>
      </w:r>
      <w:r>
        <w:t xml:space="preserve">een deel van het bedrag aan het begin alvast betalen 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0E5950" w:rsidTr="000E5950">
        <w:tc>
          <w:tcPr>
            <w:tcW w:w="4606" w:type="dxa"/>
          </w:tcPr>
          <w:p w:rsidR="000E5950" w:rsidRPr="000E5950" w:rsidRDefault="000E5950" w:rsidP="00186F1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Voordelen</w:t>
            </w:r>
          </w:p>
        </w:tc>
        <w:tc>
          <w:tcPr>
            <w:tcW w:w="4606" w:type="dxa"/>
          </w:tcPr>
          <w:p w:rsidR="000E5950" w:rsidRPr="000E5950" w:rsidRDefault="000E5950" w:rsidP="00186F1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Nadelen</w:t>
            </w:r>
          </w:p>
        </w:tc>
      </w:tr>
      <w:tr w:rsidR="000E5950" w:rsidTr="000E5950">
        <w:tc>
          <w:tcPr>
            <w:tcW w:w="4606" w:type="dxa"/>
          </w:tcPr>
          <w:p w:rsidR="000E5950" w:rsidRDefault="000E5950" w:rsidP="00186F12">
            <w:pPr>
              <w:pStyle w:val="Geenafstand"/>
            </w:pPr>
            <w:r>
              <w:t xml:space="preserve">Je hoeft niet eerst te sparen </w:t>
            </w:r>
          </w:p>
        </w:tc>
        <w:tc>
          <w:tcPr>
            <w:tcW w:w="4606" w:type="dxa"/>
          </w:tcPr>
          <w:p w:rsidR="000E5950" w:rsidRDefault="000E5950" w:rsidP="00186F12">
            <w:pPr>
              <w:pStyle w:val="Geenafstand"/>
            </w:pPr>
            <w:r>
              <w:t>Je betaalt meer dan bij contante betaling, bedrijven reken hoge efficiënte rente</w:t>
            </w:r>
          </w:p>
        </w:tc>
      </w:tr>
      <w:tr w:rsidR="000E5950" w:rsidTr="000E5950">
        <w:tc>
          <w:tcPr>
            <w:tcW w:w="4606" w:type="dxa"/>
          </w:tcPr>
          <w:p w:rsidR="000E5950" w:rsidRDefault="000E5950" w:rsidP="00186F12">
            <w:pPr>
              <w:pStyle w:val="Geenafstand"/>
            </w:pPr>
            <w:r>
              <w:t xml:space="preserve">Je bent direct eigenaar </w:t>
            </w:r>
          </w:p>
        </w:tc>
        <w:tc>
          <w:tcPr>
            <w:tcW w:w="4606" w:type="dxa"/>
          </w:tcPr>
          <w:p w:rsidR="000E5950" w:rsidRDefault="000E5950" w:rsidP="00186F12">
            <w:pPr>
              <w:pStyle w:val="Geenafstand"/>
            </w:pPr>
          </w:p>
        </w:tc>
      </w:tr>
    </w:tbl>
    <w:p w:rsidR="000E5950" w:rsidRDefault="000E5950" w:rsidP="00186F12">
      <w:pPr>
        <w:pStyle w:val="Geenafstand"/>
      </w:pPr>
    </w:p>
    <w:p w:rsidR="000E5950" w:rsidRDefault="000E5950" w:rsidP="00186F12">
      <w:pPr>
        <w:pStyle w:val="Geenafstand"/>
      </w:pPr>
      <w:r>
        <w:rPr>
          <w:color w:val="FF0000"/>
        </w:rPr>
        <w:t xml:space="preserve">Huurkoop </w:t>
      </w:r>
      <w:r>
        <w:t xml:space="preserve">een aankoop van een product met daaraan gekoppeld krediet van de leverancier, </w:t>
      </w:r>
      <w:proofErr w:type="gramStart"/>
      <w:r>
        <w:t>waarbij</w:t>
      </w:r>
      <w:proofErr w:type="gramEnd"/>
      <w:r>
        <w:t xml:space="preserve"> de consument het product in termijnen betaald en pas eigenaar van het product wordt wanneer de laatste termijn betaald is </w:t>
      </w:r>
    </w:p>
    <w:p w:rsidR="000E5950" w:rsidRDefault="000E5950" w:rsidP="00186F12">
      <w:pPr>
        <w:pStyle w:val="Geenafstand"/>
      </w:pPr>
    </w:p>
    <w:p w:rsidR="000E5950" w:rsidRDefault="000E5950" w:rsidP="00186F12">
      <w:pPr>
        <w:pStyle w:val="Geenafstand"/>
        <w:rPr>
          <w:b/>
          <w:sz w:val="24"/>
        </w:rPr>
      </w:pPr>
      <w:r>
        <w:rPr>
          <w:b/>
          <w:sz w:val="24"/>
        </w:rPr>
        <w:t>§12.2 Ondernemerskrediet</w:t>
      </w:r>
    </w:p>
    <w:p w:rsidR="000E5950" w:rsidRDefault="000E5950" w:rsidP="00186F12">
      <w:pPr>
        <w:pStyle w:val="Geenafstand"/>
      </w:pPr>
    </w:p>
    <w:p w:rsidR="000E5950" w:rsidRDefault="000E5950" w:rsidP="00186F12">
      <w:pPr>
        <w:pStyle w:val="Geenafstand"/>
        <w:rPr>
          <w:color w:val="FF0000"/>
        </w:rPr>
      </w:pPr>
      <w:r>
        <w:rPr>
          <w:color w:val="FF0000"/>
        </w:rPr>
        <w:t xml:space="preserve">Ondernemerskrediet </w:t>
      </w:r>
      <w:r>
        <w:t xml:space="preserve">kortlopende leningen aan bedrijven, ook wel: </w:t>
      </w:r>
      <w:r>
        <w:rPr>
          <w:color w:val="FF0000"/>
        </w:rPr>
        <w:t>bedrijfskrediet</w:t>
      </w:r>
    </w:p>
    <w:p w:rsidR="000E5950" w:rsidRDefault="000E5950" w:rsidP="00186F12">
      <w:pPr>
        <w:pStyle w:val="Geenafstand"/>
      </w:pPr>
      <w:r>
        <w:rPr>
          <w:color w:val="FF0000"/>
        </w:rPr>
        <w:t xml:space="preserve">Rekening-courant krediet </w:t>
      </w:r>
      <w:r>
        <w:t>een lening van een bank aan een onderneming waarbij de onderneming tot een bepaald bedrag (</w:t>
      </w:r>
      <w:r>
        <w:rPr>
          <w:color w:val="FF0000"/>
        </w:rPr>
        <w:t>kredietplafond/kredietlimiet</w:t>
      </w:r>
      <w:r>
        <w:t>) rood mag staat op de betaalrekening bij die bank</w:t>
      </w:r>
    </w:p>
    <w:p w:rsidR="000E5950" w:rsidRPr="000E5950" w:rsidRDefault="000E5950" w:rsidP="000E5950">
      <w:pPr>
        <w:pStyle w:val="Geenafstand"/>
        <w:numPr>
          <w:ilvl w:val="0"/>
          <w:numId w:val="3"/>
        </w:numPr>
      </w:pPr>
      <w:r>
        <w:rPr>
          <w:color w:val="FF0000"/>
        </w:rPr>
        <w:t>Variabele rente</w:t>
      </w:r>
    </w:p>
    <w:p w:rsidR="000E5950" w:rsidRDefault="000E5950" w:rsidP="000E5950">
      <w:pPr>
        <w:pStyle w:val="Geenafstand"/>
        <w:numPr>
          <w:ilvl w:val="0"/>
          <w:numId w:val="3"/>
        </w:numPr>
      </w:pPr>
      <w:r>
        <w:t xml:space="preserve">vooraf vaak afsluitprovisie betalen </w:t>
      </w:r>
    </w:p>
    <w:p w:rsidR="000E5950" w:rsidRDefault="000E5950" w:rsidP="000E5950">
      <w:pPr>
        <w:pStyle w:val="Geenafstand"/>
      </w:pPr>
      <w:r>
        <w:rPr>
          <w:color w:val="FF0000"/>
        </w:rPr>
        <w:lastRenderedPageBreak/>
        <w:t xml:space="preserve">Leverancierskrediet </w:t>
      </w:r>
      <w:r>
        <w:t>een kredietvorm waarbij de leverancier van een product goederen levert, die de afnemer pas later betaalt</w:t>
      </w:r>
    </w:p>
    <w:p w:rsidR="000E5950" w:rsidRDefault="000E5950" w:rsidP="000E5950">
      <w:pPr>
        <w:pStyle w:val="Geenafstand"/>
      </w:pPr>
      <w:r>
        <w:rPr>
          <w:color w:val="FF0000"/>
        </w:rPr>
        <w:t>Debiteuren</w:t>
      </w:r>
      <w:r>
        <w:t xml:space="preserve"> schuldenaren, mensen die gekochte spullen nog moeten betalen</w:t>
      </w:r>
    </w:p>
    <w:p w:rsidR="000E5950" w:rsidRDefault="000E5950" w:rsidP="000E5950">
      <w:pPr>
        <w:pStyle w:val="Geenafstand"/>
      </w:pPr>
      <w:r>
        <w:rPr>
          <w:color w:val="FF0000"/>
        </w:rPr>
        <w:t xml:space="preserve">Crediteuren </w:t>
      </w:r>
      <w:r>
        <w:t>schuldeiser die voor geleverde goederen nog geld moet ontvangen</w:t>
      </w:r>
      <w:r>
        <w:tab/>
      </w:r>
    </w:p>
    <w:p w:rsidR="000E5950" w:rsidRDefault="000E5950" w:rsidP="000E5950">
      <w:pPr>
        <w:pStyle w:val="Geenafstand"/>
      </w:pPr>
      <w:r>
        <w:rPr>
          <w:color w:val="FF0000"/>
        </w:rPr>
        <w:t xml:space="preserve">Factorbedrijven </w:t>
      </w:r>
      <w:r>
        <w:t xml:space="preserve">bedrijven die het innen van openstaande vorderingen overnemen bij wanbetaling </w:t>
      </w:r>
    </w:p>
    <w:p w:rsidR="000E5950" w:rsidRDefault="000E5950" w:rsidP="000E5950">
      <w:pPr>
        <w:pStyle w:val="Geenafstand"/>
      </w:pPr>
    </w:p>
    <w:p w:rsidR="000E5950" w:rsidRDefault="000E5950" w:rsidP="000E5950">
      <w:pPr>
        <w:pStyle w:val="Geenafstand"/>
      </w:pPr>
      <w:r>
        <w:rPr>
          <w:color w:val="FF0000"/>
        </w:rPr>
        <w:t xml:space="preserve">Afnemerskrediet </w:t>
      </w:r>
      <w:r>
        <w:t>een kredietvorm waarbij de afnemen een aangekocht product geheel of gedeeltelijk vooruitbetaald aan de leverancier</w:t>
      </w:r>
    </w:p>
    <w:p w:rsidR="000E5950" w:rsidRDefault="000E5950" w:rsidP="000E5950">
      <w:pPr>
        <w:pStyle w:val="Geenafstand"/>
      </w:pPr>
    </w:p>
    <w:p w:rsidR="000E5950" w:rsidRDefault="000E5950" w:rsidP="000E5950">
      <w:pPr>
        <w:pStyle w:val="Geenafstand"/>
      </w:pPr>
      <w:r>
        <w:rPr>
          <w:color w:val="FF0000"/>
        </w:rPr>
        <w:t xml:space="preserve">Leasing </w:t>
      </w:r>
      <w:r>
        <w:t xml:space="preserve">langdurige huur van duurzame goederen, al dan niet met de optie op de aankoop ervan na afloop van de leasetermijn </w:t>
      </w:r>
    </w:p>
    <w:p w:rsidR="000E5950" w:rsidRDefault="000E5950" w:rsidP="000E5950">
      <w:pPr>
        <w:pStyle w:val="Geenafstand"/>
      </w:pPr>
      <w:r>
        <w:rPr>
          <w:color w:val="FF0000"/>
        </w:rPr>
        <w:t xml:space="preserve">Sale and lease back </w:t>
      </w:r>
      <w:r>
        <w:t xml:space="preserve">iets verkopen aan bijv. </w:t>
      </w:r>
      <w:proofErr w:type="gramStart"/>
      <w:r>
        <w:t>een</w:t>
      </w:r>
      <w:proofErr w:type="gramEnd"/>
      <w:r>
        <w:t xml:space="preserve"> leasemaatschappij en gelijk weer terugleasen om aan krediet te komen </w:t>
      </w:r>
    </w:p>
    <w:p w:rsidR="00C90AE9" w:rsidRDefault="00C90AE9" w:rsidP="000E5950">
      <w:pPr>
        <w:pStyle w:val="Geenafstand"/>
      </w:pPr>
    </w:p>
    <w:p w:rsidR="000E5950" w:rsidRDefault="00C90AE9" w:rsidP="000E5950">
      <w:pPr>
        <w:pStyle w:val="Geenafstand"/>
        <w:rPr>
          <w:color w:val="FF0000"/>
        </w:rPr>
      </w:pPr>
      <w:r>
        <w:rPr>
          <w:color w:val="FF0000"/>
        </w:rPr>
        <w:t>Operational lease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leasemaatschappij blijft juridisch en economisch eigenaar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economische risico’s zijn voor de leasemaatschappij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bijkomende kosten zoals verzekeringen zijn voor de leasemaatschappij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leasecontract is tussentijds opzegbaar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korte looptijd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 xml:space="preserve">aan het einde van het contract gaat het geleasete object terug naar de eigenaar </w:t>
      </w:r>
    </w:p>
    <w:p w:rsidR="00C90AE9" w:rsidRDefault="00C90AE9" w:rsidP="00C90AE9">
      <w:pPr>
        <w:pStyle w:val="Geenafstand"/>
      </w:pPr>
    </w:p>
    <w:p w:rsidR="00C90AE9" w:rsidRDefault="00C90AE9" w:rsidP="00C90AE9">
      <w:pPr>
        <w:pStyle w:val="Geenafstand"/>
        <w:rPr>
          <w:color w:val="FF0000"/>
        </w:rPr>
      </w:pPr>
      <w:r>
        <w:rPr>
          <w:color w:val="FF0000"/>
        </w:rPr>
        <w:t>Financial lease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leasemaatschappij is juridisch eigenaar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klant is economisch eigenaar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 xml:space="preserve">economische risico’s zijn voor de klant 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bijkomende kosten zijn voor de klant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leasecontract niet tussentijds opzegbaar</w:t>
      </w:r>
    </w:p>
    <w:p w:rsidR="00C90AE9" w:rsidRDefault="00C90AE9" w:rsidP="00C90AE9">
      <w:pPr>
        <w:pStyle w:val="Geenafstand"/>
        <w:numPr>
          <w:ilvl w:val="0"/>
          <w:numId w:val="3"/>
        </w:numPr>
      </w:pPr>
      <w:r>
        <w:t>lange looptijd</w:t>
      </w:r>
    </w:p>
    <w:p w:rsidR="00C90AE9" w:rsidRPr="00C90AE9" w:rsidRDefault="00C90AE9" w:rsidP="00C90AE9">
      <w:pPr>
        <w:pStyle w:val="Geenafstand"/>
        <w:numPr>
          <w:ilvl w:val="0"/>
          <w:numId w:val="3"/>
        </w:numPr>
      </w:pPr>
      <w:r>
        <w:t xml:space="preserve">aan het einde van het contract is het gebruikelijk dat de klant juridisch eigenaar wordt </w:t>
      </w:r>
    </w:p>
    <w:p w:rsidR="00C90AE9" w:rsidRPr="00C90AE9" w:rsidRDefault="00C90AE9" w:rsidP="00C90AE9">
      <w:pPr>
        <w:pStyle w:val="Geenafstand"/>
      </w:pPr>
    </w:p>
    <w:p w:rsidR="00C90AE9" w:rsidRPr="00C90AE9" w:rsidRDefault="00C90AE9" w:rsidP="000E5950">
      <w:pPr>
        <w:pStyle w:val="Geenafstand"/>
        <w:rPr>
          <w:color w:val="FF0000"/>
        </w:rPr>
      </w:pPr>
    </w:p>
    <w:sectPr w:rsidR="00C90AE9" w:rsidRPr="00C90AE9" w:rsidSect="00E0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F6C"/>
    <w:multiLevelType w:val="hybridMultilevel"/>
    <w:tmpl w:val="C2AA6766"/>
    <w:lvl w:ilvl="0" w:tplc="F67C8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67C85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0C8D"/>
    <w:multiLevelType w:val="hybridMultilevel"/>
    <w:tmpl w:val="7A7C65E2"/>
    <w:lvl w:ilvl="0" w:tplc="1DD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35F0"/>
    <w:multiLevelType w:val="hybridMultilevel"/>
    <w:tmpl w:val="D1CC0976"/>
    <w:lvl w:ilvl="0" w:tplc="F67C853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4F24EF"/>
    <w:multiLevelType w:val="hybridMultilevel"/>
    <w:tmpl w:val="4C98F638"/>
    <w:lvl w:ilvl="0" w:tplc="F67C8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1899"/>
    <w:rsid w:val="000E5950"/>
    <w:rsid w:val="00186F12"/>
    <w:rsid w:val="001E704E"/>
    <w:rsid w:val="00343DC5"/>
    <w:rsid w:val="004477B5"/>
    <w:rsid w:val="00515A7E"/>
    <w:rsid w:val="00530A57"/>
    <w:rsid w:val="006D1899"/>
    <w:rsid w:val="008A6A34"/>
    <w:rsid w:val="0090779D"/>
    <w:rsid w:val="00AF3C81"/>
    <w:rsid w:val="00B15385"/>
    <w:rsid w:val="00B40A83"/>
    <w:rsid w:val="00B71E2F"/>
    <w:rsid w:val="00C90AE9"/>
    <w:rsid w:val="00D54DB7"/>
    <w:rsid w:val="00E01664"/>
    <w:rsid w:val="00EF7E76"/>
    <w:rsid w:val="00F6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18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3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515A7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2614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2016-01-03T17:47:00Z</cp:lastPrinted>
  <dcterms:created xsi:type="dcterms:W3CDTF">2016-01-03T14:26:00Z</dcterms:created>
  <dcterms:modified xsi:type="dcterms:W3CDTF">2016-01-03T17:51:00Z</dcterms:modified>
</cp:coreProperties>
</file>