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7EBD2" w14:textId="277F8E31" w:rsidR="0022303A" w:rsidRPr="001120E5" w:rsidRDefault="00235D5E" w:rsidP="00086FC6">
      <w:pPr>
        <w:pStyle w:val="Kop1"/>
        <w:ind w:left="-567" w:right="-567"/>
        <w:rPr>
          <w:rFonts w:asciiTheme="minorHAnsi" w:hAnsiTheme="minorHAnsi"/>
          <w:color w:val="70AD47" w:themeColor="accent6"/>
          <w:sz w:val="28"/>
        </w:rPr>
      </w:pPr>
      <w:r w:rsidRPr="001120E5">
        <w:rPr>
          <w:rFonts w:asciiTheme="minorHAnsi" w:hAnsiTheme="minorHAnsi"/>
          <w:color w:val="70AD47" w:themeColor="accent6"/>
          <w:sz w:val="28"/>
        </w:rPr>
        <w:t>Wat is demografie?</w:t>
      </w:r>
    </w:p>
    <w:p w14:paraId="7070FF74" w14:textId="45769D98" w:rsidR="00086FC6" w:rsidRPr="001120E5" w:rsidRDefault="0037701D" w:rsidP="00086FC6">
      <w:pPr>
        <w:pStyle w:val="Lijstalinea"/>
        <w:numPr>
          <w:ilvl w:val="0"/>
          <w:numId w:val="6"/>
        </w:numPr>
        <w:ind w:right="-567"/>
        <w:rPr>
          <w:i/>
        </w:rPr>
      </w:pPr>
      <w:r w:rsidRPr="00865715">
        <w:rPr>
          <w:u w:val="single"/>
        </w:rPr>
        <w:t>Studie</w:t>
      </w:r>
      <w:r w:rsidR="00086FC6" w:rsidRPr="00865715">
        <w:rPr>
          <w:u w:val="single"/>
        </w:rPr>
        <w:t xml:space="preserve"> naar de bevolkingssamenstelling (kwaliteit)</w:t>
      </w:r>
      <w:r w:rsidR="001120E5">
        <w:tab/>
      </w:r>
      <w:r w:rsidR="00086FC6" w:rsidRPr="001120E5">
        <w:rPr>
          <w:i/>
        </w:rPr>
        <w:t>leeftijd, geslacht en afkomst</w:t>
      </w:r>
    </w:p>
    <w:p w14:paraId="3C505178" w14:textId="77777777" w:rsidR="00086FC6" w:rsidRPr="00865715" w:rsidRDefault="0037701D" w:rsidP="00086FC6">
      <w:pPr>
        <w:pStyle w:val="Lijstalinea"/>
        <w:numPr>
          <w:ilvl w:val="0"/>
          <w:numId w:val="6"/>
        </w:numPr>
        <w:ind w:right="-567"/>
      </w:pPr>
      <w:r w:rsidRPr="00865715">
        <w:rPr>
          <w:u w:val="single"/>
        </w:rPr>
        <w:t>Stu</w:t>
      </w:r>
      <w:r w:rsidR="00086FC6" w:rsidRPr="00865715">
        <w:rPr>
          <w:u w:val="single"/>
        </w:rPr>
        <w:t>die naar de bevolkingsaantallen (kwantiteit)</w:t>
      </w:r>
    </w:p>
    <w:p w14:paraId="04E31D4A" w14:textId="77777777" w:rsidR="00086FC6" w:rsidRPr="00865715" w:rsidRDefault="00235D5E" w:rsidP="00086FC6">
      <w:pPr>
        <w:pStyle w:val="Lijstalinea"/>
        <w:numPr>
          <w:ilvl w:val="1"/>
          <w:numId w:val="6"/>
        </w:numPr>
        <w:ind w:right="-567"/>
      </w:pPr>
      <w:r w:rsidRPr="00865715">
        <w:rPr>
          <w:b/>
        </w:rPr>
        <w:t>Natuurlijke</w:t>
      </w:r>
      <w:r w:rsidRPr="00865715">
        <w:t xml:space="preserve"> </w:t>
      </w:r>
      <w:r w:rsidRPr="00865715">
        <w:rPr>
          <w:b/>
        </w:rPr>
        <w:t>bevolkingsgroei</w:t>
      </w:r>
      <w:r w:rsidR="00086FC6" w:rsidRPr="00865715">
        <w:tab/>
      </w:r>
      <w:r w:rsidR="00086FC6" w:rsidRPr="00865715">
        <w:tab/>
        <w:t xml:space="preserve">= </w:t>
      </w:r>
      <w:r w:rsidRPr="00865715">
        <w:t>geboortegevallen – s</w:t>
      </w:r>
      <w:r w:rsidR="00086FC6" w:rsidRPr="00865715">
        <w:t>terftegevallen</w:t>
      </w:r>
      <w:r w:rsidR="00086FC6" w:rsidRPr="00865715">
        <w:br/>
      </w:r>
      <w:r w:rsidR="00967272" w:rsidRPr="00865715">
        <w:t xml:space="preserve">Positief getal is een </w:t>
      </w:r>
      <w:r w:rsidR="00967272" w:rsidRPr="00865715">
        <w:rPr>
          <w:b/>
        </w:rPr>
        <w:t>geboorteoverschot</w:t>
      </w:r>
      <w:r w:rsidR="00086FC6" w:rsidRPr="00865715">
        <w:t xml:space="preserve">, </w:t>
      </w:r>
      <w:r w:rsidR="00967272" w:rsidRPr="00865715">
        <w:t xml:space="preserve">bij een negatief getal heb je een </w:t>
      </w:r>
      <w:r w:rsidR="00967272" w:rsidRPr="00865715">
        <w:rPr>
          <w:b/>
        </w:rPr>
        <w:t>sterfteoverschot</w:t>
      </w:r>
    </w:p>
    <w:p w14:paraId="5673DDBF" w14:textId="17E74C9E" w:rsidR="00967272" w:rsidRPr="00865715" w:rsidRDefault="00255C10" w:rsidP="00086FC6">
      <w:pPr>
        <w:pStyle w:val="Lijstalinea"/>
        <w:numPr>
          <w:ilvl w:val="1"/>
          <w:numId w:val="6"/>
        </w:numPr>
        <w:ind w:right="-567"/>
      </w:pPr>
      <w:r w:rsidRPr="00865715">
        <w:t>Sociale bevolkingsgroei (</w:t>
      </w:r>
      <w:r w:rsidRPr="00865715">
        <w:rPr>
          <w:b/>
        </w:rPr>
        <w:t>migratie</w:t>
      </w:r>
      <w:r w:rsidRPr="00865715">
        <w:t>)</w:t>
      </w:r>
      <w:r w:rsidR="00086FC6" w:rsidRPr="00865715">
        <w:t xml:space="preserve"> </w:t>
      </w:r>
      <w:r w:rsidR="00086FC6" w:rsidRPr="00865715">
        <w:tab/>
        <w:t xml:space="preserve">= </w:t>
      </w:r>
      <w:r w:rsidR="00235D5E" w:rsidRPr="00865715">
        <w:t xml:space="preserve">immigranten – emigranten = </w:t>
      </w:r>
      <w:r w:rsidR="00967272" w:rsidRPr="00865715">
        <w:rPr>
          <w:b/>
        </w:rPr>
        <w:t>migratiesaldo</w:t>
      </w:r>
      <w:r w:rsidR="00086FC6" w:rsidRPr="00865715">
        <w:rPr>
          <w:b/>
        </w:rPr>
        <w:br/>
      </w:r>
      <w:r w:rsidR="00967272" w:rsidRPr="00865715">
        <w:t xml:space="preserve">Positief getal is een </w:t>
      </w:r>
      <w:r w:rsidR="00967272" w:rsidRPr="00865715">
        <w:rPr>
          <w:b/>
        </w:rPr>
        <w:t>vestigingsoverschot</w:t>
      </w:r>
      <w:r w:rsidR="00967272" w:rsidRPr="00865715">
        <w:t xml:space="preserve">, bij een negatief getal heb je een </w:t>
      </w:r>
      <w:r w:rsidR="00967272" w:rsidRPr="00865715">
        <w:rPr>
          <w:b/>
        </w:rPr>
        <w:t>vertrekoverschot</w:t>
      </w:r>
    </w:p>
    <w:p w14:paraId="1D9635A2" w14:textId="20ED8222" w:rsidR="007A6FAA" w:rsidRPr="001120E5" w:rsidRDefault="007A6FAA" w:rsidP="007A6FAA">
      <w:pPr>
        <w:pStyle w:val="Kop1"/>
        <w:ind w:left="-567" w:right="-567"/>
        <w:rPr>
          <w:rFonts w:asciiTheme="minorHAnsi" w:hAnsiTheme="minorHAnsi"/>
          <w:color w:val="70AD47" w:themeColor="accent6"/>
          <w:sz w:val="28"/>
        </w:rPr>
      </w:pPr>
      <w:r w:rsidRPr="001120E5">
        <w:rPr>
          <w:rFonts w:asciiTheme="minorHAnsi" w:hAnsiTheme="minorHAnsi"/>
          <w:color w:val="70AD47" w:themeColor="accent6"/>
          <w:sz w:val="28"/>
        </w:rPr>
        <w:t>Bevolkingscijfers</w:t>
      </w:r>
    </w:p>
    <w:p w14:paraId="1FA62945" w14:textId="1F777D8D" w:rsidR="00086FC6" w:rsidRPr="00865715" w:rsidRDefault="00086FC6" w:rsidP="007A6FAA">
      <w:pPr>
        <w:pStyle w:val="Lijstalinea"/>
        <w:numPr>
          <w:ilvl w:val="0"/>
          <w:numId w:val="7"/>
        </w:numPr>
        <w:ind w:right="-567"/>
      </w:pPr>
      <w:r w:rsidRPr="00865715">
        <w:rPr>
          <w:b/>
        </w:rPr>
        <w:t>De bevolkingsaantallen</w:t>
      </w:r>
      <w:r w:rsidRPr="00865715">
        <w:t xml:space="preserve"> kun je in twee soorten getallen aangeven:</w:t>
      </w:r>
    </w:p>
    <w:p w14:paraId="48DB2906" w14:textId="00AD9170" w:rsidR="007A6FAA" w:rsidRPr="00865715" w:rsidRDefault="00086FC6" w:rsidP="007A6FAA">
      <w:pPr>
        <w:pStyle w:val="Lijstalinea"/>
        <w:numPr>
          <w:ilvl w:val="1"/>
          <w:numId w:val="7"/>
        </w:numPr>
        <w:ind w:right="-567"/>
      </w:pPr>
      <w:r w:rsidRPr="00865715">
        <w:rPr>
          <w:b/>
        </w:rPr>
        <w:t>Absolute getallen</w:t>
      </w:r>
      <w:r w:rsidRPr="00865715">
        <w:t>: hoeveelheden van bevolking</w:t>
      </w:r>
    </w:p>
    <w:p w14:paraId="08E299B7" w14:textId="0D2F6020" w:rsidR="007A6FAA" w:rsidRPr="00865715" w:rsidRDefault="00086FC6" w:rsidP="007A6FAA">
      <w:pPr>
        <w:pStyle w:val="Lijstalinea"/>
        <w:numPr>
          <w:ilvl w:val="1"/>
          <w:numId w:val="7"/>
        </w:numPr>
        <w:ind w:right="-567"/>
      </w:pPr>
      <w:r w:rsidRPr="00865715">
        <w:rPr>
          <w:b/>
        </w:rPr>
        <w:t>Relatieve getallen</w:t>
      </w:r>
      <w:r w:rsidR="007A6FAA" w:rsidRPr="00865715">
        <w:t xml:space="preserve">: In % of ‰, bij </w:t>
      </w:r>
      <w:r w:rsidR="007A6FAA" w:rsidRPr="00865715">
        <w:rPr>
          <w:b/>
        </w:rPr>
        <w:t>geboortecijfer</w:t>
      </w:r>
      <w:r w:rsidR="007A6FAA" w:rsidRPr="00865715">
        <w:t xml:space="preserve"> en </w:t>
      </w:r>
      <w:r w:rsidR="007A6FAA" w:rsidRPr="00865715">
        <w:rPr>
          <w:b/>
        </w:rPr>
        <w:t>sterftecijfer</w:t>
      </w:r>
      <w:r w:rsidR="007A6FAA" w:rsidRPr="00865715">
        <w:t xml:space="preserve"> is het aantal geboortes / sterftegevallen per 1000 mensen.  </w:t>
      </w:r>
    </w:p>
    <w:p w14:paraId="6E8352EA" w14:textId="77777777" w:rsidR="007A6FAA" w:rsidRPr="00865715" w:rsidRDefault="00235D5E" w:rsidP="007A6FAA">
      <w:pPr>
        <w:pStyle w:val="Lijstalinea"/>
        <w:numPr>
          <w:ilvl w:val="0"/>
          <w:numId w:val="7"/>
        </w:numPr>
        <w:ind w:right="-567"/>
      </w:pPr>
      <w:r w:rsidRPr="00865715">
        <w:t xml:space="preserve">De </w:t>
      </w:r>
      <w:r w:rsidRPr="00865715">
        <w:rPr>
          <w:b/>
        </w:rPr>
        <w:t>bevolkingsdichtheid</w:t>
      </w:r>
      <w:r w:rsidRPr="00865715">
        <w:t xml:space="preserve"> is het gemiddeld aantal inwoners per km²</w:t>
      </w:r>
    </w:p>
    <w:p w14:paraId="4DEE9541" w14:textId="77777777" w:rsidR="007A6FAA" w:rsidRPr="00865715" w:rsidRDefault="00235D5E" w:rsidP="007A6FAA">
      <w:pPr>
        <w:pStyle w:val="Lijstalinea"/>
        <w:numPr>
          <w:ilvl w:val="0"/>
          <w:numId w:val="7"/>
        </w:numPr>
        <w:ind w:right="-567"/>
      </w:pPr>
      <w:r w:rsidRPr="00865715">
        <w:t xml:space="preserve">De </w:t>
      </w:r>
      <w:r w:rsidRPr="00865715">
        <w:rPr>
          <w:b/>
        </w:rPr>
        <w:t xml:space="preserve">bevolkingsspreiding </w:t>
      </w:r>
      <w:r w:rsidRPr="00865715">
        <w:t>is de spreiding van de inwoners over een bepaald land / gebied</w:t>
      </w:r>
    </w:p>
    <w:p w14:paraId="7ADA44BE" w14:textId="54E0D021" w:rsidR="00235D5E" w:rsidRPr="00865715" w:rsidRDefault="00235D5E" w:rsidP="007A6FAA">
      <w:pPr>
        <w:pStyle w:val="Lijstalinea"/>
        <w:ind w:left="-207" w:right="-567"/>
        <w:rPr>
          <w:i/>
        </w:rPr>
      </w:pPr>
      <w:r w:rsidRPr="00865715">
        <w:rPr>
          <w:i/>
        </w:rPr>
        <w:t xml:space="preserve">Wanneer er veel mensen wonen op een bepaalde plek is dat een </w:t>
      </w:r>
      <w:r w:rsidRPr="00865715">
        <w:rPr>
          <w:b/>
          <w:i/>
        </w:rPr>
        <w:t>bevolkingsconcentratie</w:t>
      </w:r>
    </w:p>
    <w:p w14:paraId="171CC281" w14:textId="2BF347C7" w:rsidR="007A6FAA" w:rsidRPr="001120E5" w:rsidRDefault="007A6FAA" w:rsidP="007A6FAA">
      <w:pPr>
        <w:pStyle w:val="Kop1"/>
        <w:ind w:left="-567" w:right="-567"/>
        <w:rPr>
          <w:rFonts w:asciiTheme="minorHAnsi" w:hAnsiTheme="minorHAnsi"/>
          <w:color w:val="70AD47" w:themeColor="accent6"/>
          <w:sz w:val="28"/>
        </w:rPr>
      </w:pPr>
      <w:r w:rsidRPr="001120E5">
        <w:rPr>
          <w:rFonts w:asciiTheme="minorHAnsi" w:hAnsiTheme="minorHAnsi"/>
          <w:color w:val="70AD47" w:themeColor="accent6"/>
          <w:sz w:val="28"/>
        </w:rPr>
        <w:t>Figuren en grafieken</w:t>
      </w:r>
    </w:p>
    <w:p w14:paraId="774BA484" w14:textId="1017E31F" w:rsidR="007A6FAA" w:rsidRPr="00865715" w:rsidRDefault="007306D0" w:rsidP="007A6FAA">
      <w:pPr>
        <w:ind w:left="-567" w:right="-567"/>
      </w:pPr>
      <w:r w:rsidRPr="00865715">
        <w:t xml:space="preserve">Het </w:t>
      </w:r>
      <w:r w:rsidRPr="00865715">
        <w:rPr>
          <w:b/>
        </w:rPr>
        <w:t>demografische transitiemodel</w:t>
      </w:r>
      <w:r w:rsidRPr="00865715">
        <w:t xml:space="preserve"> is een tabel waarin beschreven staat hoe de geboortecijfers e</w:t>
      </w:r>
      <w:r w:rsidR="00167F80" w:rsidRPr="00865715">
        <w:t>n sterftecijfers veranderen in 5</w:t>
      </w:r>
      <w:r w:rsidRPr="00865715">
        <w:t xml:space="preserve"> fases. </w:t>
      </w:r>
      <w:r w:rsidR="00167F80" w:rsidRPr="00865715">
        <w:t xml:space="preserve">West-Europa en de VS bevindt zich in fases, maar andere landen zijn pas net na de </w:t>
      </w:r>
      <w:r w:rsidR="00167F80" w:rsidRPr="00865715">
        <w:rPr>
          <w:b/>
        </w:rPr>
        <w:t>bevolkingsexplosie</w:t>
      </w:r>
      <w:r w:rsidR="00167F80" w:rsidRPr="00865715">
        <w:t xml:space="preserve">, namelijk in fase 3 </w:t>
      </w:r>
    </w:p>
    <w:p w14:paraId="154195AE" w14:textId="469D3885" w:rsidR="00167F80" w:rsidRPr="00865715" w:rsidRDefault="00167F80" w:rsidP="007A6FAA">
      <w:pPr>
        <w:ind w:left="-567" w:right="-567"/>
      </w:pPr>
      <w:r w:rsidRPr="00865715">
        <w:t xml:space="preserve">In een </w:t>
      </w:r>
      <w:r w:rsidRPr="00865715">
        <w:rPr>
          <w:b/>
        </w:rPr>
        <w:t xml:space="preserve">bevolkingsdiagram </w:t>
      </w:r>
      <w:r w:rsidRPr="00865715">
        <w:t>kan je zien met liggende staven hoe de samenstelling van de bevolking in elkaar zit. Elke staaf staat voor een leeftijd, links mannen en rechts vrouwen. Het kan met absolute of relatieve getallen.</w:t>
      </w:r>
    </w:p>
    <w:p w14:paraId="31A94A89" w14:textId="1F53A845" w:rsidR="00167F80" w:rsidRPr="00865715" w:rsidRDefault="00167F80" w:rsidP="00167F80">
      <w:pPr>
        <w:pStyle w:val="Lijstalinea"/>
        <w:numPr>
          <w:ilvl w:val="0"/>
          <w:numId w:val="8"/>
        </w:numPr>
        <w:ind w:right="-567"/>
      </w:pPr>
      <w:r w:rsidRPr="00865715">
        <w:t xml:space="preserve">De piramide staat voor een land met veel geboortes, vaak in arme landen (fase </w:t>
      </w:r>
      <w:r w:rsidR="007D4D75" w:rsidRPr="00865715">
        <w:t>1 en 2</w:t>
      </w:r>
      <w:r w:rsidRPr="00865715">
        <w:t>)</w:t>
      </w:r>
    </w:p>
    <w:p w14:paraId="26755716" w14:textId="15B841DF" w:rsidR="00167F80" w:rsidRPr="00865715" w:rsidRDefault="007D4D75" w:rsidP="00167F80">
      <w:pPr>
        <w:pStyle w:val="Lijstalinea"/>
        <w:numPr>
          <w:ilvl w:val="0"/>
          <w:numId w:val="8"/>
        </w:numPr>
        <w:ind w:right="-567"/>
      </w:pPr>
      <w:r w:rsidRPr="00865715">
        <w:t>De granaat staat voor een gelijke verdeling van de leeftijd, weinig geboortes, in rijke landen (fase 4)</w:t>
      </w:r>
    </w:p>
    <w:p w14:paraId="676B2D5D" w14:textId="49975EFC" w:rsidR="007D4D75" w:rsidRPr="00865715" w:rsidRDefault="007D4D75" w:rsidP="00167F80">
      <w:pPr>
        <w:pStyle w:val="Lijstalinea"/>
        <w:numPr>
          <w:ilvl w:val="0"/>
          <w:numId w:val="8"/>
        </w:numPr>
        <w:ind w:right="-567"/>
      </w:pPr>
      <w:r w:rsidRPr="00865715">
        <w:t>De urn / ui staat voor een verdeling met veel mensen van rond de 50 t/m 70 jaar. (fase 4 en 5)</w:t>
      </w:r>
    </w:p>
    <w:p w14:paraId="4A29C417" w14:textId="2212768E" w:rsidR="007D4D75" w:rsidRPr="001120E5" w:rsidRDefault="006F49F1" w:rsidP="007D4D75">
      <w:pPr>
        <w:pStyle w:val="Kop1"/>
        <w:ind w:left="-567" w:right="-567"/>
        <w:rPr>
          <w:rFonts w:asciiTheme="minorHAnsi" w:hAnsiTheme="minorHAnsi"/>
          <w:color w:val="70AD47" w:themeColor="accent6"/>
          <w:sz w:val="28"/>
        </w:rPr>
      </w:pPr>
      <w:r w:rsidRPr="001120E5">
        <w:rPr>
          <w:rFonts w:asciiTheme="minorHAnsi" w:hAnsiTheme="minorHAnsi"/>
          <w:color w:val="70AD47" w:themeColor="accent6"/>
          <w:sz w:val="28"/>
        </w:rPr>
        <w:t>Grijs en Groen</w:t>
      </w:r>
    </w:p>
    <w:p w14:paraId="688B1E98" w14:textId="25DF1C37" w:rsidR="007D4D75" w:rsidRPr="00865715" w:rsidRDefault="006F49F1" w:rsidP="00865715">
      <w:pPr>
        <w:ind w:left="-567"/>
      </w:pPr>
      <w:r w:rsidRPr="00865715">
        <w:rPr>
          <w:b/>
        </w:rPr>
        <w:t>Vergrijzing</w:t>
      </w:r>
      <w:r w:rsidRPr="00865715">
        <w:t xml:space="preserve"> = toenemen van aantal mensen van 65 jaar en ouder</w:t>
      </w:r>
      <w:r w:rsidR="00865715">
        <w:br/>
      </w:r>
      <w:r w:rsidRPr="00865715">
        <w:rPr>
          <w:b/>
        </w:rPr>
        <w:t>Ontgroening</w:t>
      </w:r>
      <w:r w:rsidRPr="00865715">
        <w:t xml:space="preserve"> = afnemen van het aantal </w:t>
      </w:r>
      <w:r w:rsidR="00711187" w:rsidRPr="00865715">
        <w:t>mensen</w:t>
      </w:r>
      <w:r w:rsidRPr="00865715">
        <w:t xml:space="preserve"> van 19 jaar en jonger</w:t>
      </w:r>
    </w:p>
    <w:p w14:paraId="09672E3B" w14:textId="2A3DC563" w:rsidR="000E152C" w:rsidRPr="00865715" w:rsidRDefault="000E152C" w:rsidP="007D4D75">
      <w:pPr>
        <w:ind w:left="-567"/>
      </w:pPr>
      <w:r w:rsidRPr="00865715">
        <w:t xml:space="preserve">De productieven </w:t>
      </w:r>
      <w:r w:rsidR="006A2536">
        <w:t xml:space="preserve">(geld verdienenden) </w:t>
      </w:r>
      <w:r w:rsidRPr="00865715">
        <w:t>betalen</w:t>
      </w:r>
      <w:r w:rsidR="006A2536">
        <w:t xml:space="preserve"> geld aan </w:t>
      </w:r>
      <w:r w:rsidRPr="00865715">
        <w:t>de niet-productieven</w:t>
      </w:r>
      <w:r w:rsidR="006A2536">
        <w:t xml:space="preserve"> (niet geld verdienenden)</w:t>
      </w:r>
      <w:r w:rsidRPr="00865715">
        <w:t>, die ee</w:t>
      </w:r>
      <w:r w:rsidR="006A2536">
        <w:t xml:space="preserve">n last is voor de productieven. </w:t>
      </w:r>
      <w:r w:rsidRPr="00865715">
        <w:t xml:space="preserve">Ze geven druk aan de productieven </w:t>
      </w:r>
      <w:r w:rsidRPr="00865715">
        <w:rPr>
          <w:b/>
        </w:rPr>
        <w:t>demografische druk</w:t>
      </w:r>
      <w:r w:rsidRPr="00865715">
        <w:t>.</w:t>
      </w:r>
    </w:p>
    <w:p w14:paraId="286DB78F" w14:textId="3469BED5" w:rsidR="00832957" w:rsidRDefault="000E152C" w:rsidP="00832957">
      <w:pPr>
        <w:ind w:left="-567"/>
      </w:pPr>
      <w:r w:rsidRPr="00865715">
        <w:t>Je kunt ook wel zeggen:</w:t>
      </w:r>
      <m:oMath>
        <m:r>
          <w:rPr>
            <w:rFonts w:ascii="Cambria Math" w:hAnsi="Cambria Math"/>
          </w:rPr>
          <m:t xml:space="preserve"> demografische druk=</m:t>
        </m:r>
        <m:f>
          <m:fPr>
            <m:ctrlPr>
              <w:rPr>
                <w:rFonts w:ascii="Cambria Math" w:hAnsi="Cambria Math"/>
                <w:i/>
              </w:rPr>
            </m:ctrlPr>
          </m:fPr>
          <m:num>
            <m:r>
              <w:rPr>
                <w:rFonts w:ascii="Cambria Math" w:hAnsi="Cambria Math"/>
              </w:rPr>
              <m:t>0 tot 20 jaar + 65 jaar en ouder</m:t>
            </m:r>
          </m:num>
          <m:den>
            <m:r>
              <w:rPr>
                <w:rFonts w:ascii="Cambria Math" w:hAnsi="Cambria Math"/>
              </w:rPr>
              <m:t>20 tot 65 jaar</m:t>
            </m:r>
          </m:den>
        </m:f>
        <m:r>
          <w:rPr>
            <w:rFonts w:ascii="Cambria Math" w:hAnsi="Cambria Math"/>
          </w:rPr>
          <m:t>*100</m:t>
        </m:r>
      </m:oMath>
      <w:r w:rsidR="00865715" w:rsidRPr="00865715">
        <w:t xml:space="preserve"> </w:t>
      </w:r>
      <w:r w:rsidR="00865715">
        <w:br/>
        <w:t xml:space="preserve">Bij de </w:t>
      </w:r>
      <w:r w:rsidR="00865715">
        <w:rPr>
          <w:b/>
        </w:rPr>
        <w:t xml:space="preserve">grijze druk </w:t>
      </w:r>
      <w:r w:rsidR="00865715">
        <w:t xml:space="preserve">telt dan de 0 tot 20 jaar niet mee, bij de </w:t>
      </w:r>
      <w:r w:rsidR="00865715">
        <w:rPr>
          <w:b/>
        </w:rPr>
        <w:t>groene druk</w:t>
      </w:r>
      <w:r w:rsidR="00865715">
        <w:t xml:space="preserve"> telt 65 jaar en ouder dan niet mee.</w:t>
      </w:r>
      <w:r w:rsidR="006A2536">
        <w:br/>
        <w:t xml:space="preserve">Een </w:t>
      </w:r>
      <w:r w:rsidR="006A2536">
        <w:rPr>
          <w:b/>
        </w:rPr>
        <w:t xml:space="preserve">demografische krimp </w:t>
      </w:r>
      <w:r w:rsidR="006A2536">
        <w:t>is een gevolg van een sterfteoverschot</w:t>
      </w:r>
    </w:p>
    <w:tbl>
      <w:tblPr>
        <w:tblStyle w:val="Tabelraster"/>
        <w:tblW w:w="0" w:type="auto"/>
        <w:tblInd w:w="-567" w:type="dxa"/>
        <w:tblLook w:val="04A0" w:firstRow="1" w:lastRow="0" w:firstColumn="1" w:lastColumn="0" w:noHBand="0" w:noVBand="1"/>
      </w:tblPr>
      <w:tblGrid>
        <w:gridCol w:w="4106"/>
        <w:gridCol w:w="5387"/>
      </w:tblGrid>
      <w:tr w:rsidR="00832957" w14:paraId="41F6C95B" w14:textId="77777777" w:rsidTr="00C612E4">
        <w:trPr>
          <w:trHeight w:val="369"/>
        </w:trPr>
        <w:tc>
          <w:tcPr>
            <w:tcW w:w="4106" w:type="dxa"/>
            <w:tcBorders>
              <w:top w:val="single" w:sz="4" w:space="0" w:color="auto"/>
              <w:left w:val="single" w:sz="4" w:space="0" w:color="auto"/>
              <w:bottom w:val="single" w:sz="4" w:space="0" w:color="FFFFFF" w:themeColor="background1"/>
              <w:right w:val="single" w:sz="4" w:space="0" w:color="auto"/>
            </w:tcBorders>
          </w:tcPr>
          <w:p w14:paraId="63FB2BF0" w14:textId="564FC4CA" w:rsidR="00832957" w:rsidRPr="00832957" w:rsidRDefault="00832957" w:rsidP="00C612E4">
            <w:pPr>
              <w:jc w:val="center"/>
              <w:rPr>
                <w:color w:val="70AD47" w:themeColor="accent6"/>
                <w:sz w:val="28"/>
              </w:rPr>
            </w:pPr>
            <w:r w:rsidRPr="00832957">
              <w:rPr>
                <w:color w:val="70AD47" w:themeColor="accent6"/>
                <w:sz w:val="28"/>
              </w:rPr>
              <w:t>Oorzaken van ontgroening</w:t>
            </w:r>
          </w:p>
        </w:tc>
        <w:tc>
          <w:tcPr>
            <w:tcW w:w="5387" w:type="dxa"/>
            <w:tcBorders>
              <w:top w:val="single" w:sz="4" w:space="0" w:color="auto"/>
              <w:left w:val="single" w:sz="4" w:space="0" w:color="auto"/>
              <w:bottom w:val="single" w:sz="4" w:space="0" w:color="FFFFFF" w:themeColor="background1"/>
              <w:right w:val="single" w:sz="4" w:space="0" w:color="auto"/>
            </w:tcBorders>
          </w:tcPr>
          <w:p w14:paraId="35D18562" w14:textId="7DF4212F" w:rsidR="00832957" w:rsidRPr="00832957" w:rsidRDefault="00832957" w:rsidP="007137FC">
            <w:pPr>
              <w:jc w:val="center"/>
              <w:rPr>
                <w:color w:val="70AD47" w:themeColor="accent6"/>
                <w:sz w:val="28"/>
              </w:rPr>
            </w:pPr>
            <w:r w:rsidRPr="00832957">
              <w:rPr>
                <w:color w:val="70AD47" w:themeColor="accent6"/>
                <w:sz w:val="28"/>
              </w:rPr>
              <w:t>Oorzaken van vergrijzing</w:t>
            </w:r>
            <w:bookmarkStart w:id="0" w:name="_GoBack"/>
            <w:bookmarkEnd w:id="0"/>
          </w:p>
        </w:tc>
      </w:tr>
      <w:tr w:rsidR="00832957" w14:paraId="61D35993" w14:textId="77777777" w:rsidTr="00C612E4">
        <w:trPr>
          <w:trHeight w:val="878"/>
        </w:trPr>
        <w:tc>
          <w:tcPr>
            <w:tcW w:w="4106" w:type="dxa"/>
            <w:tcBorders>
              <w:top w:val="single" w:sz="4" w:space="0" w:color="FFFFFF" w:themeColor="background1"/>
              <w:left w:val="single" w:sz="4" w:space="0" w:color="auto"/>
              <w:bottom w:val="single" w:sz="4" w:space="0" w:color="auto"/>
              <w:right w:val="single" w:sz="4" w:space="0" w:color="auto"/>
            </w:tcBorders>
          </w:tcPr>
          <w:p w14:paraId="1DC039A8" w14:textId="77777777" w:rsidR="00832957" w:rsidRDefault="00832957" w:rsidP="00C612E4">
            <w:pPr>
              <w:ind w:left="-48"/>
              <w:jc w:val="center"/>
            </w:pPr>
            <w:r w:rsidRPr="00832957">
              <w:rPr>
                <w:b/>
              </w:rPr>
              <w:t>Vruchtbaarheidscijfer</w:t>
            </w:r>
            <w:r>
              <w:t xml:space="preserve"> daalt</w:t>
            </w:r>
          </w:p>
          <w:p w14:paraId="056F6DA7" w14:textId="77777777" w:rsidR="00832957" w:rsidRDefault="00832957" w:rsidP="00C612E4">
            <w:pPr>
              <w:ind w:left="-48"/>
              <w:jc w:val="center"/>
            </w:pPr>
            <w:r>
              <w:t>Invoering van anticonceptiemiddelen</w:t>
            </w:r>
          </w:p>
          <w:p w14:paraId="33979036" w14:textId="1ECE55D8" w:rsidR="00832957" w:rsidRDefault="00832957" w:rsidP="00C612E4">
            <w:pPr>
              <w:ind w:left="-48"/>
              <w:jc w:val="center"/>
            </w:pPr>
            <w:r>
              <w:t>Andere invloed van de religie</w:t>
            </w:r>
          </w:p>
        </w:tc>
        <w:tc>
          <w:tcPr>
            <w:tcW w:w="5387" w:type="dxa"/>
            <w:tcBorders>
              <w:top w:val="single" w:sz="4" w:space="0" w:color="FFFFFF" w:themeColor="background1"/>
              <w:left w:val="single" w:sz="4" w:space="0" w:color="auto"/>
              <w:bottom w:val="single" w:sz="4" w:space="0" w:color="auto"/>
              <w:right w:val="single" w:sz="4" w:space="0" w:color="auto"/>
            </w:tcBorders>
          </w:tcPr>
          <w:p w14:paraId="19AA0AD4" w14:textId="77777777" w:rsidR="00832957" w:rsidRDefault="00832957" w:rsidP="00C612E4">
            <w:pPr>
              <w:jc w:val="center"/>
            </w:pPr>
            <w:r>
              <w:t>Minder kinderen = meer ouderen</w:t>
            </w:r>
          </w:p>
          <w:p w14:paraId="5B3A407E" w14:textId="77777777" w:rsidR="00832957" w:rsidRDefault="00832957" w:rsidP="00C612E4">
            <w:pPr>
              <w:jc w:val="center"/>
            </w:pPr>
            <w:r>
              <w:t>Babyboomgeneratie wordt 65+</w:t>
            </w:r>
          </w:p>
          <w:p w14:paraId="1CB809FE" w14:textId="1CCD56C9" w:rsidR="00832957" w:rsidRPr="00832957" w:rsidRDefault="00832957" w:rsidP="00C612E4">
            <w:pPr>
              <w:jc w:val="center"/>
            </w:pPr>
            <w:r>
              <w:rPr>
                <w:b/>
              </w:rPr>
              <w:t>Levensverwachting</w:t>
            </w:r>
            <w:r>
              <w:t xml:space="preserve"> wordt hoger</w:t>
            </w:r>
          </w:p>
        </w:tc>
      </w:tr>
      <w:tr w:rsidR="007137FC" w14:paraId="31D4FBC6" w14:textId="77777777" w:rsidTr="007137FC">
        <w:trPr>
          <w:trHeight w:val="293"/>
        </w:trPr>
        <w:tc>
          <w:tcPr>
            <w:tcW w:w="4106" w:type="dxa"/>
            <w:tcBorders>
              <w:top w:val="single" w:sz="4" w:space="0" w:color="auto"/>
              <w:left w:val="single" w:sz="4" w:space="0" w:color="auto"/>
              <w:bottom w:val="single" w:sz="4" w:space="0" w:color="FFFFFF" w:themeColor="background1"/>
              <w:right w:val="single" w:sz="4" w:space="0" w:color="auto"/>
            </w:tcBorders>
          </w:tcPr>
          <w:p w14:paraId="34C47C1F" w14:textId="7C9F0CCB" w:rsidR="007137FC" w:rsidRPr="00EA1AD7" w:rsidRDefault="007137FC" w:rsidP="00C612E4">
            <w:pPr>
              <w:ind w:left="-48"/>
              <w:jc w:val="center"/>
              <w:rPr>
                <w:color w:val="70AD47" w:themeColor="accent6"/>
                <w:sz w:val="28"/>
              </w:rPr>
            </w:pPr>
            <w:r>
              <w:rPr>
                <w:color w:val="70AD47" w:themeColor="accent6"/>
                <w:sz w:val="28"/>
              </w:rPr>
              <w:t>Oplossingen en gevolgen</w:t>
            </w:r>
          </w:p>
        </w:tc>
        <w:tc>
          <w:tcPr>
            <w:tcW w:w="5387" w:type="dxa"/>
            <w:tcBorders>
              <w:top w:val="single" w:sz="4" w:space="0" w:color="auto"/>
              <w:left w:val="single" w:sz="4" w:space="0" w:color="auto"/>
              <w:bottom w:val="single" w:sz="4" w:space="0" w:color="FFFFFF" w:themeColor="background1"/>
              <w:right w:val="single" w:sz="4" w:space="0" w:color="auto"/>
            </w:tcBorders>
          </w:tcPr>
          <w:p w14:paraId="7F45BF9E" w14:textId="7401A6E1" w:rsidR="007137FC" w:rsidRPr="00EA1AD7" w:rsidRDefault="007137FC" w:rsidP="00C612E4">
            <w:pPr>
              <w:ind w:left="-48"/>
              <w:jc w:val="center"/>
              <w:rPr>
                <w:color w:val="70AD47" w:themeColor="accent6"/>
                <w:sz w:val="28"/>
              </w:rPr>
            </w:pPr>
            <w:r>
              <w:rPr>
                <w:color w:val="70AD47" w:themeColor="accent6"/>
                <w:sz w:val="28"/>
              </w:rPr>
              <w:t>Waar is vergrijzing?</w:t>
            </w:r>
          </w:p>
        </w:tc>
      </w:tr>
      <w:tr w:rsidR="00C612E4" w14:paraId="1F990793" w14:textId="3FF773F6" w:rsidTr="007137FC">
        <w:trPr>
          <w:trHeight w:val="511"/>
        </w:trPr>
        <w:tc>
          <w:tcPr>
            <w:tcW w:w="4106" w:type="dxa"/>
            <w:tcBorders>
              <w:top w:val="single" w:sz="4" w:space="0" w:color="FFFFFF" w:themeColor="background1"/>
              <w:left w:val="single" w:sz="4" w:space="0" w:color="auto"/>
              <w:bottom w:val="single" w:sz="4" w:space="0" w:color="auto"/>
              <w:right w:val="single" w:sz="4" w:space="0" w:color="auto"/>
            </w:tcBorders>
          </w:tcPr>
          <w:p w14:paraId="30D5ABCC" w14:textId="2844924D" w:rsidR="00C612E4" w:rsidRDefault="007137FC" w:rsidP="007137FC">
            <w:pPr>
              <w:jc w:val="center"/>
            </w:pPr>
            <w:r>
              <w:t>Volk stimuleren tot meer kinderen krijgen</w:t>
            </w:r>
          </w:p>
          <w:p w14:paraId="0C4A0FAF" w14:textId="77777777" w:rsidR="007137FC" w:rsidRDefault="007137FC" w:rsidP="00C612E4">
            <w:pPr>
              <w:jc w:val="center"/>
            </w:pPr>
            <w:r>
              <w:t>Jonge buitenlanders naar NL trekken</w:t>
            </w:r>
          </w:p>
          <w:p w14:paraId="433AC8AA" w14:textId="77777777" w:rsidR="007137FC" w:rsidRDefault="007137FC" w:rsidP="00C612E4">
            <w:pPr>
              <w:jc w:val="center"/>
            </w:pPr>
          </w:p>
          <w:p w14:paraId="1EFE5F41" w14:textId="4130E9B0" w:rsidR="007137FC" w:rsidRPr="00C612E4" w:rsidRDefault="007137FC" w:rsidP="00C612E4">
            <w:pPr>
              <w:jc w:val="center"/>
            </w:pPr>
            <w:r>
              <w:t>Maar ook voordelen: meer banen in ouderenzorg</w:t>
            </w:r>
          </w:p>
        </w:tc>
        <w:tc>
          <w:tcPr>
            <w:tcW w:w="5387" w:type="dxa"/>
            <w:tcBorders>
              <w:top w:val="single" w:sz="4" w:space="0" w:color="FFFFFF" w:themeColor="background1"/>
              <w:left w:val="single" w:sz="4" w:space="0" w:color="auto"/>
              <w:bottom w:val="single" w:sz="4" w:space="0" w:color="auto"/>
              <w:right w:val="single" w:sz="4" w:space="0" w:color="auto"/>
            </w:tcBorders>
          </w:tcPr>
          <w:p w14:paraId="5FA341EB" w14:textId="17482A41" w:rsidR="00BD1FAB" w:rsidRDefault="00BD1FAB" w:rsidP="00BD1FAB">
            <w:pPr>
              <w:jc w:val="center"/>
            </w:pPr>
            <w:r>
              <w:t>In het westen neemt bevolking toe, in de rest van NL is er later veel vergrijzing. Jongeren verhuizen dan naar steden</w:t>
            </w:r>
          </w:p>
          <w:p w14:paraId="13287704" w14:textId="4689B231" w:rsidR="00C612E4" w:rsidRPr="00BD1FAB" w:rsidRDefault="00BD1FAB" w:rsidP="00BD1FAB">
            <w:pPr>
              <w:jc w:val="center"/>
            </w:pPr>
            <w:r>
              <w:t>Daar kan er herinrichting plaats vinden, grote flatgebouwen kunnen vervangen worden door grote vrije woningen met veel natuur.</w:t>
            </w:r>
          </w:p>
        </w:tc>
      </w:tr>
    </w:tbl>
    <w:p w14:paraId="7F107741" w14:textId="1524CE95" w:rsidR="00C612E4" w:rsidRPr="00C612E4" w:rsidRDefault="00C612E4" w:rsidP="00C612E4"/>
    <w:sectPr w:rsidR="00C612E4" w:rsidRPr="00C612E4" w:rsidSect="00462E93">
      <w:headerReference w:type="default" r:id="rId7"/>
      <w:footerReference w:type="default" r:id="rId8"/>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1F358" w14:textId="77777777" w:rsidR="0022303A" w:rsidRDefault="0022303A" w:rsidP="0022303A">
      <w:pPr>
        <w:spacing w:after="0" w:line="240" w:lineRule="auto"/>
      </w:pPr>
      <w:r>
        <w:separator/>
      </w:r>
    </w:p>
  </w:endnote>
  <w:endnote w:type="continuationSeparator" w:id="0">
    <w:p w14:paraId="3969282A" w14:textId="77777777" w:rsidR="0022303A" w:rsidRDefault="0022303A" w:rsidP="0022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F2B94" w14:textId="44B37D35" w:rsidR="0022303A" w:rsidRDefault="008C57FE">
    <w:pPr>
      <w:pStyle w:val="Voettekst"/>
    </w:pPr>
    <w:r>
      <w:t>Daan van Kats, L3Va</w:t>
    </w:r>
    <w:r>
      <w:tab/>
      <w:t>2 dec</w:t>
    </w:r>
    <w:r w:rsidR="0022303A">
      <w: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EDC6F" w14:textId="77777777" w:rsidR="0022303A" w:rsidRDefault="0022303A" w:rsidP="0022303A">
      <w:pPr>
        <w:spacing w:after="0" w:line="240" w:lineRule="auto"/>
      </w:pPr>
      <w:r>
        <w:separator/>
      </w:r>
    </w:p>
  </w:footnote>
  <w:footnote w:type="continuationSeparator" w:id="0">
    <w:p w14:paraId="621F2EB0" w14:textId="77777777" w:rsidR="0022303A" w:rsidRDefault="0022303A" w:rsidP="00223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659D" w14:textId="77777777" w:rsidR="0022303A" w:rsidRDefault="0022303A">
    <w:pPr>
      <w:pStyle w:val="Koptekst"/>
    </w:pPr>
    <w:r>
      <w:rPr>
        <w:noProof/>
        <w:lang w:eastAsia="nl-NL"/>
      </w:rPr>
      <mc:AlternateContent>
        <mc:Choice Requires="wps">
          <w:drawing>
            <wp:anchor distT="0" distB="0" distL="114300" distR="114300" simplePos="0" relativeHeight="251660288" behindDoc="0" locked="0" layoutInCell="0" allowOverlap="1" wp14:anchorId="1C6344A2" wp14:editId="274CB513">
              <wp:simplePos x="0" y="0"/>
              <wp:positionH relativeFrom="margin">
                <wp:align>left</wp:align>
              </wp:positionH>
              <wp:positionV relativeFrom="topMargin">
                <wp:align>center</wp:align>
              </wp:positionV>
              <wp:extent cx="5943600" cy="170815"/>
              <wp:effectExtent l="0" t="0" r="0" b="1905"/>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1882506774"/>
                            <w:dataBinding w:prefixMappings="xmlns:ns0='http://schemas.openxmlformats.org/package/2006/metadata/core-properties' xmlns:ns1='http://purl.org/dc/elements/1.1/'" w:xpath="/ns0:coreProperties[1]/ns1:title[1]" w:storeItemID="{6C3C8BC8-F283-45AE-878A-BAB7291924A1}"/>
                            <w:text/>
                          </w:sdtPr>
                          <w:sdtEndPr/>
                          <w:sdtContent>
                            <w:p w14:paraId="4AEE757D" w14:textId="54D6449B" w:rsidR="0022303A" w:rsidRDefault="0022303A">
                              <w:pPr>
                                <w:spacing w:after="0" w:line="240" w:lineRule="auto"/>
                              </w:pPr>
                              <w:r>
                                <w:t xml:space="preserve">Aardrijkskunde samenvattingen </w:t>
                              </w:r>
                              <w:r w:rsidR="00086FC6">
                                <w:t>–</w:t>
                              </w:r>
                              <w:r>
                                <w:t xml:space="preserve"> Demografie</w:t>
                              </w:r>
                              <w:r w:rsidR="00086FC6">
                                <w:t>,</w:t>
                              </w:r>
                              <w:r w:rsidR="00711187">
                                <w:t xml:space="preserve"> B107 t/m B115</w:t>
                              </w:r>
                              <w:r w:rsidR="00086FC6">
                                <w:t>, §2.1 en §2.2</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C6344A2" id="_x0000_t202" coordsize="21600,21600" o:spt="202" path="m,l,21600r21600,l21600,xe">
              <v:stroke joinstyle="miter"/>
              <v:path gradientshapeok="t" o:connecttype="rect"/>
            </v:shapetype>
            <v:shape id="Tekstvak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" o:allowincell="f" filled="f" stroked="f">
              <v:textbox style="mso-fit-shape-to-text:t" inset=",0,,0">
                <w:txbxContent>
                  <w:sdt>
                    <w:sdtPr>
                      <w:alias w:val="Titel"/>
                      <w:id w:val="1882506774"/>
                      <w:dataBinding w:prefixMappings="xmlns:ns0='http://schemas.openxmlformats.org/package/2006/metadata/core-properties' xmlns:ns1='http://purl.org/dc/elements/1.1/'" w:xpath="/ns0:coreProperties[1]/ns1:title[1]" w:storeItemID="{6C3C8BC8-F283-45AE-878A-BAB7291924A1}"/>
                      <w:text/>
                    </w:sdtPr>
                    <w:sdtEndPr/>
                    <w:sdtContent>
                      <w:p w14:paraId="4AEE757D" w14:textId="54D6449B" w:rsidR="0022303A" w:rsidRDefault="0022303A">
                        <w:pPr>
                          <w:spacing w:after="0" w:line="240" w:lineRule="auto"/>
                        </w:pPr>
                        <w:r>
                          <w:t xml:space="preserve">Aardrijkskunde samenvattingen </w:t>
                        </w:r>
                        <w:r w:rsidR="00086FC6">
                          <w:t>–</w:t>
                        </w:r>
                        <w:r>
                          <w:t xml:space="preserve"> Demografie</w:t>
                        </w:r>
                        <w:r w:rsidR="00086FC6">
                          <w:t>,</w:t>
                        </w:r>
                        <w:r w:rsidR="00711187">
                          <w:t xml:space="preserve"> B107 t/m B115</w:t>
                        </w:r>
                        <w:r w:rsidR="00086FC6">
                          <w:t>, §2.1 en §2.2</w:t>
                        </w:r>
                      </w:p>
                    </w:sdtContent>
                  </w:sdt>
                </w:txbxContent>
              </v:textbox>
              <w10:wrap anchorx="margin" anchory="margin"/>
            </v:shape>
          </w:pict>
        </mc:Fallback>
      </mc:AlternateContent>
    </w:r>
    <w:r>
      <w:rPr>
        <w:noProof/>
        <w:lang w:eastAsia="nl-NL"/>
      </w:rPr>
      <mc:AlternateContent>
        <mc:Choice Requires="wps">
          <w:drawing>
            <wp:anchor distT="0" distB="0" distL="114300" distR="114300" simplePos="0" relativeHeight="251659264" behindDoc="0" locked="0" layoutInCell="0" allowOverlap="1" wp14:anchorId="44CB528C" wp14:editId="472AAAFD">
              <wp:simplePos x="0" y="0"/>
              <wp:positionH relativeFrom="page">
                <wp:align>left</wp:align>
              </wp:positionH>
              <wp:positionV relativeFrom="topMargin">
                <wp:align>center</wp:align>
              </wp:positionV>
              <wp:extent cx="914400" cy="170815"/>
              <wp:effectExtent l="0" t="0" r="0" b="635"/>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46A8E59" w14:textId="77777777" w:rsidR="0022303A" w:rsidRDefault="0022303A">
                          <w:pPr>
                            <w:spacing w:after="0" w:line="240" w:lineRule="auto"/>
                            <w:jc w:val="right"/>
                            <w:rPr>
                              <w:color w:val="FFFFFF" w:themeColor="background1"/>
                            </w:rPr>
                          </w:pPr>
                          <w:r>
                            <w:fldChar w:fldCharType="begin"/>
                          </w:r>
                          <w:r>
                            <w:instrText>PAGE   \* MERGEFORMAT</w:instrText>
                          </w:r>
                          <w:r>
                            <w:fldChar w:fldCharType="separate"/>
                          </w:r>
                          <w:r w:rsidR="008C57FE" w:rsidRPr="008C57FE">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4CB528C" id="Tekstvak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" o:allowincell="f" fillcolor="#a8d08d [1945]" stroked="f">
              <v:textbox style="mso-fit-shape-to-text:t" inset=",0,,0">
                <w:txbxContent>
                  <w:p w14:paraId="546A8E59" w14:textId="77777777" w:rsidR="0022303A" w:rsidRDefault="0022303A">
                    <w:pPr>
                      <w:spacing w:after="0" w:line="240" w:lineRule="auto"/>
                      <w:jc w:val="right"/>
                      <w:rPr>
                        <w:color w:val="FFFFFF" w:themeColor="background1"/>
                      </w:rPr>
                    </w:pPr>
                    <w:r>
                      <w:fldChar w:fldCharType="begin"/>
                    </w:r>
                    <w:r>
                      <w:instrText>PAGE   \* MERGEFORMAT</w:instrText>
                    </w:r>
                    <w:r>
                      <w:fldChar w:fldCharType="separate"/>
                    </w:r>
                    <w:r w:rsidR="008C57FE" w:rsidRPr="008C57FE">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0414"/>
    <w:multiLevelType w:val="hybridMultilevel"/>
    <w:tmpl w:val="AB76633A"/>
    <w:lvl w:ilvl="0" w:tplc="67D851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4A0866"/>
    <w:multiLevelType w:val="hybridMultilevel"/>
    <w:tmpl w:val="3E826D40"/>
    <w:lvl w:ilvl="0" w:tplc="A97EC282">
      <w:start w:val="1"/>
      <w:numFmt w:val="upperRoman"/>
      <w:lvlText w:val="%1."/>
      <w:lvlJc w:val="left"/>
      <w:pPr>
        <w:ind w:left="153" w:hanging="720"/>
      </w:pPr>
      <w:rPr>
        <w:rFonts w:hint="default"/>
        <w:u w:val="none"/>
      </w:rPr>
    </w:lvl>
    <w:lvl w:ilvl="1" w:tplc="04130019">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2" w15:restartNumberingAfterBreak="0">
    <w:nsid w:val="4C273591"/>
    <w:multiLevelType w:val="hybridMultilevel"/>
    <w:tmpl w:val="252433B0"/>
    <w:lvl w:ilvl="0" w:tplc="61600F10">
      <w:start w:val="1"/>
      <w:numFmt w:val="bullet"/>
      <w:lvlText w:val="-"/>
      <w:lvlJc w:val="left"/>
      <w:pPr>
        <w:ind w:left="-207" w:hanging="360"/>
      </w:pPr>
      <w:rPr>
        <w:rFonts w:ascii="Calibri" w:eastAsiaTheme="minorHAnsi" w:hAnsi="Calibri" w:cstheme="minorBidi" w:hint="default"/>
      </w:rPr>
    </w:lvl>
    <w:lvl w:ilvl="1" w:tplc="04130003" w:tentative="1">
      <w:start w:val="1"/>
      <w:numFmt w:val="bullet"/>
      <w:lvlText w:val="o"/>
      <w:lvlJc w:val="left"/>
      <w:pPr>
        <w:ind w:left="513" w:hanging="360"/>
      </w:pPr>
      <w:rPr>
        <w:rFonts w:ascii="Courier New" w:hAnsi="Courier New" w:cs="Courier New" w:hint="default"/>
      </w:rPr>
    </w:lvl>
    <w:lvl w:ilvl="2" w:tplc="04130005" w:tentative="1">
      <w:start w:val="1"/>
      <w:numFmt w:val="bullet"/>
      <w:lvlText w:val=""/>
      <w:lvlJc w:val="left"/>
      <w:pPr>
        <w:ind w:left="1233" w:hanging="360"/>
      </w:pPr>
      <w:rPr>
        <w:rFonts w:ascii="Wingdings" w:hAnsi="Wingdings" w:hint="default"/>
      </w:rPr>
    </w:lvl>
    <w:lvl w:ilvl="3" w:tplc="04130001" w:tentative="1">
      <w:start w:val="1"/>
      <w:numFmt w:val="bullet"/>
      <w:lvlText w:val=""/>
      <w:lvlJc w:val="left"/>
      <w:pPr>
        <w:ind w:left="1953" w:hanging="360"/>
      </w:pPr>
      <w:rPr>
        <w:rFonts w:ascii="Symbol" w:hAnsi="Symbol" w:hint="default"/>
      </w:rPr>
    </w:lvl>
    <w:lvl w:ilvl="4" w:tplc="04130003" w:tentative="1">
      <w:start w:val="1"/>
      <w:numFmt w:val="bullet"/>
      <w:lvlText w:val="o"/>
      <w:lvlJc w:val="left"/>
      <w:pPr>
        <w:ind w:left="2673" w:hanging="360"/>
      </w:pPr>
      <w:rPr>
        <w:rFonts w:ascii="Courier New" w:hAnsi="Courier New" w:cs="Courier New" w:hint="default"/>
      </w:rPr>
    </w:lvl>
    <w:lvl w:ilvl="5" w:tplc="04130005" w:tentative="1">
      <w:start w:val="1"/>
      <w:numFmt w:val="bullet"/>
      <w:lvlText w:val=""/>
      <w:lvlJc w:val="left"/>
      <w:pPr>
        <w:ind w:left="3393" w:hanging="360"/>
      </w:pPr>
      <w:rPr>
        <w:rFonts w:ascii="Wingdings" w:hAnsi="Wingdings" w:hint="default"/>
      </w:rPr>
    </w:lvl>
    <w:lvl w:ilvl="6" w:tplc="04130001" w:tentative="1">
      <w:start w:val="1"/>
      <w:numFmt w:val="bullet"/>
      <w:lvlText w:val=""/>
      <w:lvlJc w:val="left"/>
      <w:pPr>
        <w:ind w:left="4113" w:hanging="360"/>
      </w:pPr>
      <w:rPr>
        <w:rFonts w:ascii="Symbol" w:hAnsi="Symbol" w:hint="default"/>
      </w:rPr>
    </w:lvl>
    <w:lvl w:ilvl="7" w:tplc="04130003" w:tentative="1">
      <w:start w:val="1"/>
      <w:numFmt w:val="bullet"/>
      <w:lvlText w:val="o"/>
      <w:lvlJc w:val="left"/>
      <w:pPr>
        <w:ind w:left="4833" w:hanging="360"/>
      </w:pPr>
      <w:rPr>
        <w:rFonts w:ascii="Courier New" w:hAnsi="Courier New" w:cs="Courier New" w:hint="default"/>
      </w:rPr>
    </w:lvl>
    <w:lvl w:ilvl="8" w:tplc="04130005" w:tentative="1">
      <w:start w:val="1"/>
      <w:numFmt w:val="bullet"/>
      <w:lvlText w:val=""/>
      <w:lvlJc w:val="left"/>
      <w:pPr>
        <w:ind w:left="5553" w:hanging="360"/>
      </w:pPr>
      <w:rPr>
        <w:rFonts w:ascii="Wingdings" w:hAnsi="Wingdings" w:hint="default"/>
      </w:rPr>
    </w:lvl>
  </w:abstractNum>
  <w:abstractNum w:abstractNumId="3" w15:restartNumberingAfterBreak="0">
    <w:nsid w:val="4ECA4E10"/>
    <w:multiLevelType w:val="hybridMultilevel"/>
    <w:tmpl w:val="461C343C"/>
    <w:lvl w:ilvl="0" w:tplc="EF2894A6">
      <w:numFmt w:val="bullet"/>
      <w:lvlText w:val="-"/>
      <w:lvlJc w:val="left"/>
      <w:pPr>
        <w:ind w:left="-207" w:hanging="360"/>
      </w:pPr>
      <w:rPr>
        <w:rFonts w:ascii="Calibri" w:eastAsiaTheme="minorHAnsi" w:hAnsi="Calibri" w:cstheme="minorBidi" w:hint="default"/>
      </w:rPr>
    </w:lvl>
    <w:lvl w:ilvl="1" w:tplc="04130003">
      <w:start w:val="1"/>
      <w:numFmt w:val="bullet"/>
      <w:lvlText w:val="o"/>
      <w:lvlJc w:val="left"/>
      <w:pPr>
        <w:ind w:left="513" w:hanging="360"/>
      </w:pPr>
      <w:rPr>
        <w:rFonts w:ascii="Courier New" w:hAnsi="Courier New" w:cs="Courier New" w:hint="default"/>
      </w:rPr>
    </w:lvl>
    <w:lvl w:ilvl="2" w:tplc="04130005" w:tentative="1">
      <w:start w:val="1"/>
      <w:numFmt w:val="bullet"/>
      <w:lvlText w:val=""/>
      <w:lvlJc w:val="left"/>
      <w:pPr>
        <w:ind w:left="1233" w:hanging="360"/>
      </w:pPr>
      <w:rPr>
        <w:rFonts w:ascii="Wingdings" w:hAnsi="Wingdings" w:hint="default"/>
      </w:rPr>
    </w:lvl>
    <w:lvl w:ilvl="3" w:tplc="04130001" w:tentative="1">
      <w:start w:val="1"/>
      <w:numFmt w:val="bullet"/>
      <w:lvlText w:val=""/>
      <w:lvlJc w:val="left"/>
      <w:pPr>
        <w:ind w:left="1953" w:hanging="360"/>
      </w:pPr>
      <w:rPr>
        <w:rFonts w:ascii="Symbol" w:hAnsi="Symbol" w:hint="default"/>
      </w:rPr>
    </w:lvl>
    <w:lvl w:ilvl="4" w:tplc="04130003" w:tentative="1">
      <w:start w:val="1"/>
      <w:numFmt w:val="bullet"/>
      <w:lvlText w:val="o"/>
      <w:lvlJc w:val="left"/>
      <w:pPr>
        <w:ind w:left="2673" w:hanging="360"/>
      </w:pPr>
      <w:rPr>
        <w:rFonts w:ascii="Courier New" w:hAnsi="Courier New" w:cs="Courier New" w:hint="default"/>
      </w:rPr>
    </w:lvl>
    <w:lvl w:ilvl="5" w:tplc="04130005" w:tentative="1">
      <w:start w:val="1"/>
      <w:numFmt w:val="bullet"/>
      <w:lvlText w:val=""/>
      <w:lvlJc w:val="left"/>
      <w:pPr>
        <w:ind w:left="3393" w:hanging="360"/>
      </w:pPr>
      <w:rPr>
        <w:rFonts w:ascii="Wingdings" w:hAnsi="Wingdings" w:hint="default"/>
      </w:rPr>
    </w:lvl>
    <w:lvl w:ilvl="6" w:tplc="04130001" w:tentative="1">
      <w:start w:val="1"/>
      <w:numFmt w:val="bullet"/>
      <w:lvlText w:val=""/>
      <w:lvlJc w:val="left"/>
      <w:pPr>
        <w:ind w:left="4113" w:hanging="360"/>
      </w:pPr>
      <w:rPr>
        <w:rFonts w:ascii="Symbol" w:hAnsi="Symbol" w:hint="default"/>
      </w:rPr>
    </w:lvl>
    <w:lvl w:ilvl="7" w:tplc="04130003" w:tentative="1">
      <w:start w:val="1"/>
      <w:numFmt w:val="bullet"/>
      <w:lvlText w:val="o"/>
      <w:lvlJc w:val="left"/>
      <w:pPr>
        <w:ind w:left="4833" w:hanging="360"/>
      </w:pPr>
      <w:rPr>
        <w:rFonts w:ascii="Courier New" w:hAnsi="Courier New" w:cs="Courier New" w:hint="default"/>
      </w:rPr>
    </w:lvl>
    <w:lvl w:ilvl="8" w:tplc="04130005" w:tentative="1">
      <w:start w:val="1"/>
      <w:numFmt w:val="bullet"/>
      <w:lvlText w:val=""/>
      <w:lvlJc w:val="left"/>
      <w:pPr>
        <w:ind w:left="5553" w:hanging="360"/>
      </w:pPr>
      <w:rPr>
        <w:rFonts w:ascii="Wingdings" w:hAnsi="Wingdings" w:hint="default"/>
      </w:rPr>
    </w:lvl>
  </w:abstractNum>
  <w:abstractNum w:abstractNumId="4" w15:restartNumberingAfterBreak="0">
    <w:nsid w:val="578714F5"/>
    <w:multiLevelType w:val="hybridMultilevel"/>
    <w:tmpl w:val="89CE4DAE"/>
    <w:lvl w:ilvl="0" w:tplc="086684F8">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5" w15:restartNumberingAfterBreak="0">
    <w:nsid w:val="5C8362C9"/>
    <w:multiLevelType w:val="hybridMultilevel"/>
    <w:tmpl w:val="0D5A8202"/>
    <w:lvl w:ilvl="0" w:tplc="4E6CEF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616B33"/>
    <w:multiLevelType w:val="hybridMultilevel"/>
    <w:tmpl w:val="D4ECD99C"/>
    <w:lvl w:ilvl="0" w:tplc="C0D09D4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9312A8"/>
    <w:multiLevelType w:val="hybridMultilevel"/>
    <w:tmpl w:val="8448547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0572B8"/>
    <w:multiLevelType w:val="hybridMultilevel"/>
    <w:tmpl w:val="105AD0F8"/>
    <w:lvl w:ilvl="0" w:tplc="35A68550">
      <w:start w:val="1"/>
      <w:numFmt w:val="lowerLetter"/>
      <w:lvlText w:val="%1."/>
      <w:lvlJc w:val="left"/>
      <w:pPr>
        <w:ind w:left="-207" w:hanging="360"/>
      </w:pPr>
      <w:rPr>
        <w:rFonts w:hint="default"/>
        <w:b w:val="0"/>
      </w:rPr>
    </w:lvl>
    <w:lvl w:ilvl="1" w:tplc="667ADBA4">
      <w:start w:val="1"/>
      <w:numFmt w:val="lowerRoman"/>
      <w:lvlText w:val="%2."/>
      <w:lvlJc w:val="left"/>
      <w:pPr>
        <w:ind w:left="513" w:hanging="360"/>
      </w:pPr>
      <w:rPr>
        <w:rFonts w:asciiTheme="minorHAnsi" w:eastAsiaTheme="minorHAnsi" w:hAnsiTheme="minorHAnsi" w:cstheme="minorBidi"/>
      </w:rPr>
    </w:lvl>
    <w:lvl w:ilvl="2" w:tplc="0413001B">
      <w:start w:val="1"/>
      <w:numFmt w:val="lowerRoman"/>
      <w:lvlText w:val="%3."/>
      <w:lvlJc w:val="right"/>
      <w:pPr>
        <w:ind w:left="1233" w:hanging="180"/>
      </w:pPr>
    </w:lvl>
    <w:lvl w:ilvl="3" w:tplc="4F608BD6">
      <w:start w:val="1"/>
      <w:numFmt w:val="decimal"/>
      <w:lvlText w:val="%4."/>
      <w:lvlJc w:val="left"/>
      <w:pPr>
        <w:ind w:left="1953" w:hanging="360"/>
      </w:pPr>
      <w:rPr>
        <w:rFonts w:hint="default"/>
        <w:b w:val="0"/>
      </w:r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abstractNum w:abstractNumId="9" w15:restartNumberingAfterBreak="0">
    <w:nsid w:val="773C7CF4"/>
    <w:multiLevelType w:val="hybridMultilevel"/>
    <w:tmpl w:val="3DC41920"/>
    <w:lvl w:ilvl="0" w:tplc="0413000F">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abstractNumId w:val="0"/>
  </w:num>
  <w:num w:numId="2">
    <w:abstractNumId w:val="5"/>
  </w:num>
  <w:num w:numId="3">
    <w:abstractNumId w:val="7"/>
  </w:num>
  <w:num w:numId="4">
    <w:abstractNumId w:val="3"/>
  </w:num>
  <w:num w:numId="5">
    <w:abstractNumId w:val="9"/>
  </w:num>
  <w:num w:numId="6">
    <w:abstractNumId w:val="1"/>
  </w:num>
  <w:num w:numId="7">
    <w:abstractNumId w:val="8"/>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23"/>
    <w:rsid w:val="00086FC6"/>
    <w:rsid w:val="000E152C"/>
    <w:rsid w:val="001120E5"/>
    <w:rsid w:val="00167F80"/>
    <w:rsid w:val="0022303A"/>
    <w:rsid w:val="00235D5E"/>
    <w:rsid w:val="00255C10"/>
    <w:rsid w:val="0037701D"/>
    <w:rsid w:val="00462E93"/>
    <w:rsid w:val="006A2536"/>
    <w:rsid w:val="006B1FB2"/>
    <w:rsid w:val="006F49F1"/>
    <w:rsid w:val="00711187"/>
    <w:rsid w:val="007137FC"/>
    <w:rsid w:val="007306D0"/>
    <w:rsid w:val="007A6FAA"/>
    <w:rsid w:val="007D4D75"/>
    <w:rsid w:val="00832957"/>
    <w:rsid w:val="00865715"/>
    <w:rsid w:val="008C57FE"/>
    <w:rsid w:val="00967272"/>
    <w:rsid w:val="00BA7640"/>
    <w:rsid w:val="00BD1FAB"/>
    <w:rsid w:val="00C066C3"/>
    <w:rsid w:val="00C612E4"/>
    <w:rsid w:val="00CC0623"/>
    <w:rsid w:val="00D15CFD"/>
    <w:rsid w:val="00EA1AD7"/>
    <w:rsid w:val="00F172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3367A"/>
  <w15:chartTrackingRefBased/>
  <w15:docId w15:val="{F182224C-B1D5-4CEC-9FF6-BD3662FB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230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230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303A"/>
  </w:style>
  <w:style w:type="paragraph" w:styleId="Voettekst">
    <w:name w:val="footer"/>
    <w:basedOn w:val="Standaard"/>
    <w:link w:val="VoettekstChar"/>
    <w:uiPriority w:val="99"/>
    <w:unhideWhenUsed/>
    <w:rsid w:val="002230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303A"/>
  </w:style>
  <w:style w:type="paragraph" w:styleId="Titel">
    <w:name w:val="Title"/>
    <w:basedOn w:val="Standaard"/>
    <w:next w:val="Standaard"/>
    <w:link w:val="TitelChar"/>
    <w:uiPriority w:val="10"/>
    <w:qFormat/>
    <w:rsid w:val="002230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30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303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22303A"/>
    <w:rPr>
      <w:rFonts w:eastAsiaTheme="minorEastAsia"/>
      <w:color w:val="5A5A5A" w:themeColor="text1" w:themeTint="A5"/>
      <w:spacing w:val="15"/>
    </w:rPr>
  </w:style>
  <w:style w:type="character" w:customStyle="1" w:styleId="Kop1Char">
    <w:name w:val="Kop 1 Char"/>
    <w:basedOn w:val="Standaardalinea-lettertype"/>
    <w:link w:val="Kop1"/>
    <w:uiPriority w:val="9"/>
    <w:rsid w:val="0022303A"/>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37701D"/>
    <w:pPr>
      <w:ind w:left="720"/>
      <w:contextualSpacing/>
    </w:pPr>
  </w:style>
  <w:style w:type="character" w:styleId="Tekstvantijdelijkeaanduiding">
    <w:name w:val="Placeholder Text"/>
    <w:basedOn w:val="Standaardalinea-lettertype"/>
    <w:uiPriority w:val="99"/>
    <w:semiHidden/>
    <w:rsid w:val="007A6FAA"/>
    <w:rPr>
      <w:color w:val="808080"/>
    </w:rPr>
  </w:style>
  <w:style w:type="table" w:styleId="Tabelraster">
    <w:name w:val="Table Grid"/>
    <w:basedOn w:val="Standaardtabel"/>
    <w:uiPriority w:val="39"/>
    <w:rsid w:val="0083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75"/>
    <w:rsid w:val="00113F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3F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TotalTime>
  <Pages>1</Pages>
  <Words>469</Words>
  <Characters>2585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Aardrijkskunde samenvattingen – Demografie, B107 t/m B115, §2.1 en §2.2</vt:lpstr>
    </vt:vector>
  </TitlesOfParts>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Aardrijkskunde samenvattingen – Demografie, B107 t/m B115, §2.1 en §2.2</dc:title>
  <dc:subject/>
  <dc:creator>Daan van Kats</dc:creator>
  <cp:keywords/>
  <dc:description/>
  <cp:lastModifiedBy>Daan van Kats</cp:lastModifiedBy>
  <cp:revision>20</cp:revision>
  <dcterms:created xsi:type="dcterms:W3CDTF">2015-11-21T14:12:00Z</dcterms:created>
  <dcterms:modified xsi:type="dcterms:W3CDTF">2015-12-02T20:47:00Z</dcterms:modified>
</cp:coreProperties>
</file>