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70" w:rsidRDefault="00FA4DFA">
      <w:r>
        <w:t>ECONOMIE. HOOFDSTUK 7. VERZEKEREN. BEGRIPPEN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4DFA" w:rsidTr="00FA4DFA">
        <w:tc>
          <w:tcPr>
            <w:tcW w:w="4531" w:type="dxa"/>
          </w:tcPr>
          <w:p w:rsidR="00FA4DFA" w:rsidRDefault="00FA4DFA">
            <w:r>
              <w:t>Risico-aversie</w:t>
            </w:r>
          </w:p>
        </w:tc>
        <w:tc>
          <w:tcPr>
            <w:tcW w:w="4531" w:type="dxa"/>
          </w:tcPr>
          <w:p w:rsidR="00FA4DFA" w:rsidRDefault="00FA4DFA">
            <w:r>
              <w:t>Mensen die niet van risico’s en onverwachte gebeurtenissen houden. Mensen sluiten heel veel verzekeringen af.</w:t>
            </w:r>
          </w:p>
          <w:p w:rsidR="002E6A0E" w:rsidRDefault="002E6A0E"/>
        </w:tc>
      </w:tr>
      <w:tr w:rsidR="00FA4DFA" w:rsidTr="00FA4DFA">
        <w:tc>
          <w:tcPr>
            <w:tcW w:w="4531" w:type="dxa"/>
          </w:tcPr>
          <w:p w:rsidR="00FA4DFA" w:rsidRDefault="00FA4DFA">
            <w:r>
              <w:t>Verzekering</w:t>
            </w:r>
          </w:p>
        </w:tc>
        <w:tc>
          <w:tcPr>
            <w:tcW w:w="4531" w:type="dxa"/>
          </w:tcPr>
          <w:p w:rsidR="00FA4DFA" w:rsidRDefault="00FA4DFA">
            <w:r>
              <w:t xml:space="preserve">Een overkomst tussen een verzekeraar en een verzekerde, waarbij de verzekerde tegen betaling van een periodiek bedrag de garantie krijgt dat de schade word vergoed. </w:t>
            </w:r>
          </w:p>
          <w:p w:rsidR="002E6A0E" w:rsidRDefault="002E6A0E"/>
        </w:tc>
      </w:tr>
      <w:tr w:rsidR="00FA4DFA" w:rsidTr="00FA4DFA">
        <w:tc>
          <w:tcPr>
            <w:tcW w:w="4531" w:type="dxa"/>
          </w:tcPr>
          <w:p w:rsidR="00FA4DFA" w:rsidRDefault="00FA4DFA">
            <w:r>
              <w:t>premie</w:t>
            </w:r>
          </w:p>
        </w:tc>
        <w:tc>
          <w:tcPr>
            <w:tcW w:w="4531" w:type="dxa"/>
          </w:tcPr>
          <w:p w:rsidR="00FA4DFA" w:rsidRDefault="00FA4DFA">
            <w:r>
              <w:t>Bedrag dat de verzekerde per periode aan de verzekering betaalt</w:t>
            </w:r>
          </w:p>
          <w:p w:rsidR="002E6A0E" w:rsidRDefault="002E6A0E"/>
        </w:tc>
      </w:tr>
      <w:tr w:rsidR="00FA4DFA" w:rsidTr="00FA4DFA">
        <w:tc>
          <w:tcPr>
            <w:tcW w:w="4531" w:type="dxa"/>
          </w:tcPr>
          <w:p w:rsidR="00FA4DFA" w:rsidRDefault="00FA4DFA">
            <w:r>
              <w:t>Averechtse selectie</w:t>
            </w:r>
          </w:p>
        </w:tc>
        <w:tc>
          <w:tcPr>
            <w:tcW w:w="4531" w:type="dxa"/>
          </w:tcPr>
          <w:p w:rsidR="00FA4DFA" w:rsidRDefault="00FA4DFA">
            <w:r>
              <w:t>Verschijnsel dat bij een verzekering dat de goede risico’s afhaakten en de slechte risico’s overblijven.</w:t>
            </w:r>
          </w:p>
          <w:p w:rsidR="002E6A0E" w:rsidRDefault="002E6A0E"/>
        </w:tc>
      </w:tr>
      <w:tr w:rsidR="00FA4DFA" w:rsidTr="00FA4DFA">
        <w:tc>
          <w:tcPr>
            <w:tcW w:w="4531" w:type="dxa"/>
          </w:tcPr>
          <w:p w:rsidR="00FA4DFA" w:rsidRDefault="00FA4DFA">
            <w:r>
              <w:t>Premiedifferentiatie</w:t>
            </w:r>
          </w:p>
        </w:tc>
        <w:tc>
          <w:tcPr>
            <w:tcW w:w="4531" w:type="dxa"/>
          </w:tcPr>
          <w:p w:rsidR="00FA4DFA" w:rsidRDefault="00FA4DFA">
            <w:r>
              <w:t>Premie is afhankelijk van een risico dat een specifieke groep verzekerden loopt.</w:t>
            </w:r>
          </w:p>
          <w:p w:rsidR="002E6A0E" w:rsidRDefault="002E6A0E"/>
        </w:tc>
      </w:tr>
      <w:tr w:rsidR="00FA4DFA" w:rsidTr="00FA4DFA">
        <w:tc>
          <w:tcPr>
            <w:tcW w:w="4531" w:type="dxa"/>
          </w:tcPr>
          <w:p w:rsidR="00FA4DFA" w:rsidRDefault="00FA4DFA">
            <w:r>
              <w:t>Moral hazard of moreel wangedrag</w:t>
            </w:r>
          </w:p>
        </w:tc>
        <w:tc>
          <w:tcPr>
            <w:tcW w:w="4531" w:type="dxa"/>
          </w:tcPr>
          <w:p w:rsidR="00FA4DFA" w:rsidRDefault="00FA4DFA">
            <w:r>
              <w:t>Het gedrag waarbij hogere risico’s worden genomen omdat men toch verzekerd is.</w:t>
            </w:r>
          </w:p>
          <w:p w:rsidR="002E6A0E" w:rsidRDefault="002E6A0E"/>
        </w:tc>
      </w:tr>
      <w:tr w:rsidR="00FA4DFA" w:rsidTr="00FA4DFA">
        <w:tc>
          <w:tcPr>
            <w:tcW w:w="4531" w:type="dxa"/>
          </w:tcPr>
          <w:p w:rsidR="00FA4DFA" w:rsidRDefault="00FA4DFA">
            <w:r>
              <w:t>Omslagstelsel</w:t>
            </w:r>
          </w:p>
        </w:tc>
        <w:tc>
          <w:tcPr>
            <w:tcW w:w="4531" w:type="dxa"/>
          </w:tcPr>
          <w:p w:rsidR="00FA4DFA" w:rsidRDefault="00FA4DFA">
            <w:r>
              <w:t>Stelsel waarbij de werkende</w:t>
            </w:r>
            <w:r w:rsidR="00EA414F">
              <w:t>n</w:t>
            </w:r>
            <w:r>
              <w:t xml:space="preserve"> de premie</w:t>
            </w:r>
            <w:r w:rsidR="00EA414F">
              <w:t>a</w:t>
            </w:r>
            <w:r>
              <w:t xml:space="preserve"> betalen voor de uitkering ontvangers. Een financieringsvorm waarbij de ontvangsten dienen om de uitgaven en/of sociale uitkeringen te betalen.</w:t>
            </w:r>
          </w:p>
          <w:p w:rsidR="002E6A0E" w:rsidRDefault="002E6A0E"/>
        </w:tc>
      </w:tr>
      <w:tr w:rsidR="00FA4DFA" w:rsidTr="00FA4DFA">
        <w:tc>
          <w:tcPr>
            <w:tcW w:w="4531" w:type="dxa"/>
          </w:tcPr>
          <w:p w:rsidR="00FA4DFA" w:rsidRDefault="003739BD">
            <w:r>
              <w:t>kapitaaldekkingsstelsel</w:t>
            </w:r>
          </w:p>
        </w:tc>
        <w:tc>
          <w:tcPr>
            <w:tcW w:w="4531" w:type="dxa"/>
          </w:tcPr>
          <w:p w:rsidR="00FA4DFA" w:rsidRDefault="003739BD">
            <w:r>
              <w:t>Mensen betalen premie voor een toekomstige uitkering.</w:t>
            </w:r>
          </w:p>
          <w:p w:rsidR="002E6A0E" w:rsidRDefault="002E6A0E"/>
        </w:tc>
      </w:tr>
      <w:tr w:rsidR="003739BD" w:rsidTr="00FA4DFA">
        <w:tc>
          <w:tcPr>
            <w:tcW w:w="4531" w:type="dxa"/>
          </w:tcPr>
          <w:p w:rsidR="003739BD" w:rsidRDefault="003739BD">
            <w:r>
              <w:t>Waardevast</w:t>
            </w:r>
          </w:p>
        </w:tc>
        <w:tc>
          <w:tcPr>
            <w:tcW w:w="4531" w:type="dxa"/>
          </w:tcPr>
          <w:p w:rsidR="003739BD" w:rsidRDefault="003739BD">
            <w:r>
              <w:t>Als de uitkeringen gelijke trend houden met de stijging van het algemeen prijspeil in een land.</w:t>
            </w:r>
          </w:p>
          <w:p w:rsidR="002E6A0E" w:rsidRDefault="002E6A0E"/>
        </w:tc>
      </w:tr>
      <w:tr w:rsidR="003739BD" w:rsidTr="00FA4DFA">
        <w:tc>
          <w:tcPr>
            <w:tcW w:w="4531" w:type="dxa"/>
          </w:tcPr>
          <w:p w:rsidR="003739BD" w:rsidRDefault="003739BD">
            <w:r>
              <w:t>Welvaartvast</w:t>
            </w:r>
          </w:p>
        </w:tc>
        <w:tc>
          <w:tcPr>
            <w:tcW w:w="4531" w:type="dxa"/>
          </w:tcPr>
          <w:p w:rsidR="003739BD" w:rsidRDefault="003739BD">
            <w:r>
              <w:t>Als uitkeringen stijgen met de gemiddelde inkomensstijging in een land.</w:t>
            </w:r>
          </w:p>
          <w:p w:rsidR="002E6A0E" w:rsidRDefault="002E6A0E"/>
        </w:tc>
      </w:tr>
    </w:tbl>
    <w:p w:rsidR="00CB0741" w:rsidRDefault="00CB074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414F" w:rsidTr="00FA4DFA">
        <w:tc>
          <w:tcPr>
            <w:tcW w:w="4531" w:type="dxa"/>
          </w:tcPr>
          <w:p w:rsidR="00EA414F" w:rsidRDefault="00EA414F">
            <w:r>
              <w:lastRenderedPageBreak/>
              <w:t>Collectieve verzekeringen</w:t>
            </w:r>
          </w:p>
        </w:tc>
        <w:tc>
          <w:tcPr>
            <w:tcW w:w="4531" w:type="dxa"/>
          </w:tcPr>
          <w:p w:rsidR="00CB0741" w:rsidRDefault="00CB0741" w:rsidP="00CB0741">
            <w:r>
              <w:t>Verplichte s</w:t>
            </w:r>
            <w:r w:rsidR="00EA414F">
              <w:t>ociale verzekeringen</w:t>
            </w:r>
            <w:r>
              <w:t xml:space="preserve"> via de overheid</w:t>
            </w:r>
            <w:r w:rsidR="00EA414F">
              <w:t>.</w:t>
            </w:r>
          </w:p>
          <w:p w:rsidR="00CB0741" w:rsidRPr="00CB0741" w:rsidRDefault="00CB0741" w:rsidP="00CB0741">
            <w:pPr>
              <w:rPr>
                <w:b/>
              </w:rPr>
            </w:pPr>
            <w:r w:rsidRPr="00CB0741">
              <w:rPr>
                <w:b/>
              </w:rPr>
              <w:t>Werknemersverzekeringen</w:t>
            </w:r>
          </w:p>
          <w:p w:rsidR="00CB0741" w:rsidRDefault="00EA414F" w:rsidP="00CB074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Ziektewet (ZW)</w:t>
            </w:r>
          </w:p>
          <w:p w:rsidR="00CB0741" w:rsidRDefault="00EA414F" w:rsidP="00CB074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Wet werk </w:t>
            </w:r>
            <w:r w:rsidR="00CB0741">
              <w:t>en inkomen naar arbeidsvermogen (</w:t>
            </w:r>
            <w:r>
              <w:t>WIA)</w:t>
            </w:r>
          </w:p>
          <w:p w:rsidR="00CB0741" w:rsidRDefault="00EA414F" w:rsidP="00CB074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Werkloosheidswet (WW)</w:t>
            </w:r>
          </w:p>
          <w:p w:rsidR="00CB0741" w:rsidRDefault="00EA414F" w:rsidP="00CB074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Zorgverzekeringswet (Zvw)</w:t>
            </w:r>
            <w:r w:rsidR="00CB0741">
              <w:br/>
            </w:r>
          </w:p>
          <w:p w:rsidR="00EA414F" w:rsidRPr="00CB0741" w:rsidRDefault="00CB0741" w:rsidP="00CB0741">
            <w:pPr>
              <w:rPr>
                <w:b/>
              </w:rPr>
            </w:pPr>
            <w:r w:rsidRPr="00CB0741">
              <w:rPr>
                <w:b/>
              </w:rPr>
              <w:t>Volksverzekeringen</w:t>
            </w:r>
          </w:p>
          <w:p w:rsidR="00EA414F" w:rsidRDefault="00EA414F" w:rsidP="00CB0741">
            <w:pPr>
              <w:pStyle w:val="Lijstalinea"/>
              <w:numPr>
                <w:ilvl w:val="0"/>
                <w:numId w:val="2"/>
              </w:numPr>
            </w:pPr>
            <w:r>
              <w:t>Algemene wet bijzondere ziektekosten (AWBZ)</w:t>
            </w:r>
          </w:p>
          <w:p w:rsidR="00EA414F" w:rsidRDefault="00EA414F" w:rsidP="00CB0741">
            <w:pPr>
              <w:pStyle w:val="Lijstalinea"/>
              <w:numPr>
                <w:ilvl w:val="0"/>
                <w:numId w:val="2"/>
              </w:numPr>
            </w:pPr>
            <w:r>
              <w:t>Algemene ouderdomswet (AOW)</w:t>
            </w:r>
          </w:p>
          <w:p w:rsidR="00EA414F" w:rsidRDefault="00EA414F" w:rsidP="00CB0741">
            <w:pPr>
              <w:pStyle w:val="Lijstalinea"/>
              <w:numPr>
                <w:ilvl w:val="0"/>
                <w:numId w:val="2"/>
              </w:numPr>
            </w:pPr>
            <w:r>
              <w:t>Algemene kinderbijslag wet (AKW)</w:t>
            </w:r>
          </w:p>
          <w:p w:rsidR="00CB0741" w:rsidRDefault="00EA414F" w:rsidP="00CB0741">
            <w:pPr>
              <w:pStyle w:val="Lijstalinea"/>
              <w:numPr>
                <w:ilvl w:val="0"/>
                <w:numId w:val="2"/>
              </w:numPr>
            </w:pPr>
            <w:r>
              <w:t xml:space="preserve">Algemene </w:t>
            </w:r>
            <w:r w:rsidR="00D2143C">
              <w:t>nabestaanden wet (AN</w:t>
            </w:r>
            <w:bookmarkStart w:id="0" w:name="_GoBack"/>
            <w:bookmarkEnd w:id="0"/>
            <w:r>
              <w:t>W)</w:t>
            </w:r>
            <w:r w:rsidR="00CB0741">
              <w:t xml:space="preserve"> </w:t>
            </w:r>
          </w:p>
          <w:p w:rsidR="00CB0741" w:rsidRPr="00CB0741" w:rsidRDefault="00CB0741" w:rsidP="00CB0741">
            <w:r w:rsidRPr="00CB0741">
              <w:rPr>
                <w:b/>
              </w:rPr>
              <w:t>Sociale voorziening:</w:t>
            </w:r>
            <w:r>
              <w:rPr>
                <w:b/>
              </w:rPr>
              <w:t xml:space="preserve"> </w:t>
            </w:r>
            <w:r>
              <w:t>(betaald van de  belasting)</w:t>
            </w:r>
          </w:p>
          <w:p w:rsidR="00CB0741" w:rsidRDefault="00CB0741" w:rsidP="00CB0741">
            <w:pPr>
              <w:pStyle w:val="Lijstalinea"/>
              <w:numPr>
                <w:ilvl w:val="0"/>
                <w:numId w:val="3"/>
              </w:numPr>
            </w:pPr>
            <w:r>
              <w:t>Wet werk en bijstand (WWB)</w:t>
            </w:r>
          </w:p>
          <w:p w:rsidR="00EA414F" w:rsidRDefault="00EA414F" w:rsidP="00CB0741">
            <w:pPr>
              <w:ind w:left="360"/>
            </w:pPr>
          </w:p>
          <w:p w:rsidR="00EA414F" w:rsidRDefault="00EA414F" w:rsidP="00EA414F">
            <w:r>
              <w:t>Van bovenstaande moet je er 5 kennen. Afkorting en volledig uitgeschreven.</w:t>
            </w:r>
          </w:p>
          <w:p w:rsidR="00EA414F" w:rsidRDefault="00EA414F" w:rsidP="00EA414F"/>
        </w:tc>
      </w:tr>
      <w:tr w:rsidR="00EA414F" w:rsidTr="00FA4DFA">
        <w:tc>
          <w:tcPr>
            <w:tcW w:w="4531" w:type="dxa"/>
          </w:tcPr>
          <w:p w:rsidR="00EA414F" w:rsidRDefault="00EA414F">
            <w:r>
              <w:t>Grijze druk/ vergrijzing</w:t>
            </w:r>
          </w:p>
        </w:tc>
        <w:tc>
          <w:tcPr>
            <w:tcW w:w="4531" w:type="dxa"/>
          </w:tcPr>
          <w:p w:rsidR="00EA414F" w:rsidRDefault="00EA414F">
            <w:r>
              <w:t>Het aantal mensen boven de 65 jaar, die recht hebben op een AOW- uitkering groeit. Het aantal werkenden die de premie moeten opbrengen om deze ui</w:t>
            </w:r>
            <w:r w:rsidR="008B36BF">
              <w:t xml:space="preserve">tkering te financieren groeit </w:t>
            </w:r>
            <w:r>
              <w:t xml:space="preserve"> nauwelijks. Gevolg is dat de werkenden in de toekomst een steeds hogere premie moeten betalen.</w:t>
            </w:r>
          </w:p>
          <w:p w:rsidR="00EA414F" w:rsidRDefault="00EA414F"/>
        </w:tc>
      </w:tr>
    </w:tbl>
    <w:p w:rsidR="00FA4DFA" w:rsidRDefault="00FA4DFA"/>
    <w:p w:rsidR="00CC25D3" w:rsidRDefault="00CC25D3"/>
    <w:sectPr w:rsidR="00CC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23A"/>
    <w:multiLevelType w:val="hybridMultilevel"/>
    <w:tmpl w:val="D258242A"/>
    <w:lvl w:ilvl="0" w:tplc="63BA4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2D5D"/>
    <w:multiLevelType w:val="hybridMultilevel"/>
    <w:tmpl w:val="176026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47B9"/>
    <w:multiLevelType w:val="hybridMultilevel"/>
    <w:tmpl w:val="6BDEC354"/>
    <w:lvl w:ilvl="0" w:tplc="63BA4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FA"/>
    <w:rsid w:val="00156470"/>
    <w:rsid w:val="002E6A0E"/>
    <w:rsid w:val="003739BD"/>
    <w:rsid w:val="008B36BF"/>
    <w:rsid w:val="00CB0741"/>
    <w:rsid w:val="00CC25D3"/>
    <w:rsid w:val="00D2143C"/>
    <w:rsid w:val="00EA414F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F27C-D270-4DEF-9B02-39D971D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4DFA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41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juul van dulmen</dc:creator>
  <cp:lastModifiedBy>marieke nijenhuis</cp:lastModifiedBy>
  <cp:revision>2</cp:revision>
  <cp:lastPrinted>2015-06-20T18:07:00Z</cp:lastPrinted>
  <dcterms:created xsi:type="dcterms:W3CDTF">2015-06-20T18:08:00Z</dcterms:created>
  <dcterms:modified xsi:type="dcterms:W3CDTF">2015-06-20T18:08:00Z</dcterms:modified>
</cp:coreProperties>
</file>