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45" w:rsidRPr="00B67A1A" w:rsidRDefault="00211345" w:rsidP="00211345">
      <w:pPr>
        <w:pStyle w:val="Heading1"/>
        <w:rPr>
          <w:rFonts w:asciiTheme="minorHAnsi" w:hAnsiTheme="minorHAnsi"/>
          <w:b/>
        </w:rPr>
      </w:pPr>
      <w:bookmarkStart w:id="0" w:name="_Toc406445074"/>
      <w:r w:rsidRPr="00B67A1A">
        <w:rPr>
          <w:rFonts w:asciiTheme="minorHAnsi" w:hAnsiTheme="minorHAnsi"/>
          <w:b/>
          <w:color w:val="000000" w:themeColor="text1"/>
          <w:sz w:val="28"/>
        </w:rPr>
        <w:t>Bijlage</w:t>
      </w:r>
      <w:bookmarkEnd w:id="0"/>
      <w:r w:rsidRPr="00B67A1A">
        <w:rPr>
          <w:rFonts w:asciiTheme="minorHAnsi" w:hAnsiTheme="minorHAnsi"/>
          <w:b/>
        </w:rPr>
        <w:br/>
      </w:r>
    </w:p>
    <w:p w:rsidR="00211345" w:rsidRPr="003206AE" w:rsidRDefault="00211345" w:rsidP="00211345">
      <w:pPr>
        <w:tabs>
          <w:tab w:val="left" w:pos="3913"/>
        </w:tabs>
        <w:rPr>
          <w:b/>
          <w:sz w:val="24"/>
        </w:rPr>
      </w:pPr>
      <w:r w:rsidRPr="002428C4">
        <w:rPr>
          <w:b/>
          <w:sz w:val="24"/>
        </w:rPr>
        <w:t>Annuïteitenhypotheek</w:t>
      </w:r>
      <w:r>
        <w:rPr>
          <w:b/>
          <w:sz w:val="24"/>
        </w:rPr>
        <w:br/>
        <w:t>Hypotheek: €109.200</w:t>
      </w:r>
      <w:r>
        <w:rPr>
          <w:b/>
          <w:sz w:val="24"/>
        </w:rPr>
        <w:br/>
        <w:t>Looptijd: 30 jaar</w:t>
      </w:r>
    </w:p>
    <w:tbl>
      <w:tblPr>
        <w:tblW w:w="5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5"/>
        <w:gridCol w:w="960"/>
        <w:gridCol w:w="960"/>
        <w:gridCol w:w="1299"/>
        <w:gridCol w:w="1299"/>
      </w:tblGrid>
      <w:tr w:rsidR="00211345" w:rsidRPr="00957C5A" w:rsidTr="001774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Jaar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Resterende Hypotheek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Betaalde rente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Betaalde aflossing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Bruto maandlasten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Netto maandlasten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€ 107.104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€ 372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€ 104.934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€ 375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€ 102.687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€ 378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€ 100.359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€ 92.869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€ 90.192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€ 87.420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€ 84.550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€ 81.578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€ 75.312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€ 72.011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€ 414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€ 68.593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€ 418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€ 65.053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€ 61.387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€ 57.591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€ 432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€ 53.659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€ 441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€ 446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€ 452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€ 36.485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€ 31.803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€ 26.955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€ 21.934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€ 475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€ 16.735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€ 481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€ 11.350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</w:tr>
    </w:tbl>
    <w:p w:rsidR="00211345" w:rsidRDefault="00211345" w:rsidP="00211345">
      <w:pPr>
        <w:tabs>
          <w:tab w:val="left" w:pos="3913"/>
        </w:tabs>
        <w:rPr>
          <w:b/>
          <w:sz w:val="28"/>
        </w:rPr>
      </w:pPr>
      <w:r>
        <w:rPr>
          <w:noProof/>
          <w:lang w:eastAsia="nl-NL"/>
        </w:rPr>
        <w:lastRenderedPageBreak/>
        <w:drawing>
          <wp:inline distT="0" distB="0" distL="0" distR="0" wp14:anchorId="6405954F" wp14:editId="453DDF2D">
            <wp:extent cx="5339358" cy="2784872"/>
            <wp:effectExtent l="0" t="0" r="13970" b="15875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1A79544" wp14:editId="45163C53">
            <wp:extent cx="5339080" cy="2784475"/>
            <wp:effectExtent l="0" t="0" r="13970" b="1587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1345" w:rsidRDefault="00211345" w:rsidP="00211345">
      <w:pPr>
        <w:tabs>
          <w:tab w:val="left" w:pos="3913"/>
        </w:tabs>
        <w:rPr>
          <w:b/>
          <w:sz w:val="28"/>
        </w:rPr>
      </w:pPr>
      <w:r>
        <w:rPr>
          <w:noProof/>
          <w:lang w:eastAsia="nl-NL"/>
        </w:rPr>
        <w:drawing>
          <wp:inline distT="0" distB="0" distL="0" distR="0" wp14:anchorId="01152847" wp14:editId="23B6E364">
            <wp:extent cx="5362575" cy="2784475"/>
            <wp:effectExtent l="0" t="0" r="9525" b="1587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1345" w:rsidRDefault="00211345" w:rsidP="00211345">
      <w:pPr>
        <w:tabs>
          <w:tab w:val="left" w:pos="3913"/>
        </w:tabs>
        <w:rPr>
          <w:b/>
          <w:sz w:val="28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  <w:r>
        <w:rPr>
          <w:b/>
          <w:sz w:val="28"/>
        </w:rPr>
        <w:lastRenderedPageBreak/>
        <w:t>Lineaire hypotheek</w:t>
      </w:r>
      <w:r>
        <w:rPr>
          <w:b/>
          <w:sz w:val="28"/>
        </w:rPr>
        <w:br/>
      </w:r>
      <w:r>
        <w:rPr>
          <w:b/>
          <w:sz w:val="24"/>
        </w:rPr>
        <w:t>Hypotheek: €109.200</w:t>
      </w:r>
      <w:r>
        <w:rPr>
          <w:b/>
          <w:sz w:val="24"/>
        </w:rPr>
        <w:br/>
        <w:t>Looptijd: 30 jaar</w:t>
      </w:r>
    </w:p>
    <w:tbl>
      <w:tblPr>
        <w:tblW w:w="5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5"/>
        <w:gridCol w:w="960"/>
        <w:gridCol w:w="960"/>
        <w:gridCol w:w="1299"/>
        <w:gridCol w:w="1299"/>
      </w:tblGrid>
      <w:tr w:rsidR="00211345" w:rsidRPr="00957C5A" w:rsidTr="001774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Jaar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Resterende hypotheek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Betaalde rente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Betaalde aflossing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Bruto maandlasten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Netto maandlasten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€ 105.560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€ 500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€ 101.920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€ 494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€ 98.280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€ 481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€ 475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€ 87.360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€ 83.720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€ 80.080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€ 76.440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€ 72.800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€ 444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€ 69.160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€ 438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€ 65.520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€ 432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€ 61.880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€ 58.240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€ 50.960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€ 401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€ 395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€ 36.400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€ 383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€ 32.760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€ 377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€ 29.120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€ 25.480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€ 364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€ 21.840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€ 358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€ 352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€ 14.560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€ 346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€ 10.920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€ 340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€ 7.280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€ 330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€ 320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5A">
              <w:rPr>
                <w:rFonts w:ascii="Calibri" w:eastAsia="Times New Roman" w:hAnsi="Calibri" w:cs="Times New Roman"/>
                <w:color w:val="000000"/>
                <w:lang w:eastAsia="nl-NL"/>
              </w:rPr>
              <w:t>€ 309</w:t>
            </w:r>
          </w:p>
        </w:tc>
      </w:tr>
      <w:tr w:rsidR="00211345" w:rsidRPr="00957C5A" w:rsidTr="001774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45" w:rsidRPr="00957C5A" w:rsidRDefault="00211345" w:rsidP="001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3A3E44A1" wp14:editId="01DB968B">
            <wp:extent cx="5467350" cy="2680970"/>
            <wp:effectExtent l="0" t="0" r="0" b="508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02AF736" wp14:editId="6B5AAC9B">
            <wp:extent cx="5457825" cy="2743200"/>
            <wp:effectExtent l="0" t="0" r="9525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09CACEC" wp14:editId="65A2A1E3">
            <wp:extent cx="5457825" cy="2724150"/>
            <wp:effectExtent l="0" t="0" r="9525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Default="00211345" w:rsidP="00211345">
      <w:pPr>
        <w:tabs>
          <w:tab w:val="left" w:pos="3913"/>
        </w:tabs>
        <w:rPr>
          <w:b/>
          <w:sz w:val="24"/>
        </w:rPr>
      </w:pPr>
    </w:p>
    <w:p w:rsidR="00211345" w:rsidRPr="0043518D" w:rsidRDefault="00211345" w:rsidP="00211345">
      <w:pPr>
        <w:tabs>
          <w:tab w:val="left" w:pos="3913"/>
        </w:tabs>
        <w:rPr>
          <w:b/>
          <w:sz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2B297E99" wp14:editId="71EA7418">
            <wp:extent cx="5724525" cy="2743200"/>
            <wp:effectExtent l="0" t="0" r="9525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A74A59E" wp14:editId="780283A0">
            <wp:extent cx="5724525" cy="2743200"/>
            <wp:effectExtent l="0" t="0" r="9525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3807A2D" wp14:editId="42DBDD4D">
            <wp:extent cx="5695950" cy="274320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4B36" w:rsidRDefault="00E84B36">
      <w:bookmarkStart w:id="1" w:name="_GoBack"/>
      <w:bookmarkEnd w:id="1"/>
    </w:p>
    <w:sectPr w:rsidR="00E84B36" w:rsidSect="003C0EAA"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540" w:rsidRDefault="002113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45"/>
    <w:rsid w:val="00211345"/>
    <w:rsid w:val="00E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02A-8B85-4D9B-B99D-83253595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45"/>
  </w:style>
  <w:style w:type="paragraph" w:styleId="Heading1">
    <w:name w:val="heading 1"/>
    <w:basedOn w:val="Normal"/>
    <w:next w:val="Normal"/>
    <w:link w:val="Heading1Char"/>
    <w:uiPriority w:val="9"/>
    <w:qFormat/>
    <w:rsid w:val="00211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1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Bruto- en nettomaandlasten gedurende</a:t>
            </a:r>
            <a:r>
              <a:rPr lang="nl-NL" baseline="0">
                <a:solidFill>
                  <a:schemeClr val="tx1"/>
                </a:solidFill>
              </a:rPr>
              <a:t> de looptijd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Sheet1!$K$13</c:f>
              <c:strCache>
                <c:ptCount val="1"/>
                <c:pt idx="0">
                  <c:v>Bruto maandlasten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val>
            <c:numRef>
              <c:f>Sheet1!$K$14:$K$43</c:f>
              <c:numCache>
                <c:formatCode>"€"#,##0_);[Red]\("€"#,##0\)</c:formatCode>
                <c:ptCount val="30"/>
                <c:pt idx="0">
                  <c:v>490</c:v>
                </c:pt>
                <c:pt idx="1">
                  <c:v>490</c:v>
                </c:pt>
                <c:pt idx="2">
                  <c:v>490</c:v>
                </c:pt>
                <c:pt idx="3">
                  <c:v>490</c:v>
                </c:pt>
                <c:pt idx="4">
                  <c:v>490</c:v>
                </c:pt>
                <c:pt idx="5">
                  <c:v>490</c:v>
                </c:pt>
                <c:pt idx="6">
                  <c:v>490</c:v>
                </c:pt>
                <c:pt idx="7">
                  <c:v>490</c:v>
                </c:pt>
                <c:pt idx="8">
                  <c:v>490</c:v>
                </c:pt>
                <c:pt idx="9">
                  <c:v>490</c:v>
                </c:pt>
                <c:pt idx="10">
                  <c:v>490</c:v>
                </c:pt>
                <c:pt idx="11">
                  <c:v>490</c:v>
                </c:pt>
                <c:pt idx="12">
                  <c:v>490</c:v>
                </c:pt>
                <c:pt idx="13">
                  <c:v>490</c:v>
                </c:pt>
                <c:pt idx="14">
                  <c:v>490</c:v>
                </c:pt>
                <c:pt idx="15">
                  <c:v>490</c:v>
                </c:pt>
                <c:pt idx="16">
                  <c:v>490</c:v>
                </c:pt>
                <c:pt idx="17">
                  <c:v>490</c:v>
                </c:pt>
                <c:pt idx="18">
                  <c:v>490</c:v>
                </c:pt>
                <c:pt idx="19">
                  <c:v>490</c:v>
                </c:pt>
                <c:pt idx="20">
                  <c:v>490</c:v>
                </c:pt>
                <c:pt idx="21">
                  <c:v>490</c:v>
                </c:pt>
                <c:pt idx="22">
                  <c:v>490</c:v>
                </c:pt>
                <c:pt idx="23">
                  <c:v>490</c:v>
                </c:pt>
                <c:pt idx="24">
                  <c:v>490</c:v>
                </c:pt>
                <c:pt idx="25">
                  <c:v>490</c:v>
                </c:pt>
                <c:pt idx="26">
                  <c:v>490</c:v>
                </c:pt>
                <c:pt idx="27">
                  <c:v>490</c:v>
                </c:pt>
                <c:pt idx="28">
                  <c:v>490</c:v>
                </c:pt>
                <c:pt idx="29">
                  <c:v>490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Sheet1!$L$13</c:f>
              <c:strCache>
                <c:ptCount val="1"/>
                <c:pt idx="0">
                  <c:v>Netto maandlasten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Sheet1!$L$14:$L$43</c:f>
              <c:numCache>
                <c:formatCode>"€"#,##0_);[Red]\("€"#,##0\)</c:formatCode>
                <c:ptCount val="30"/>
                <c:pt idx="0">
                  <c:v>372</c:v>
                </c:pt>
                <c:pt idx="1">
                  <c:v>375</c:v>
                </c:pt>
                <c:pt idx="2">
                  <c:v>378</c:v>
                </c:pt>
                <c:pt idx="3">
                  <c:v>380</c:v>
                </c:pt>
                <c:pt idx="4">
                  <c:v>383</c:v>
                </c:pt>
                <c:pt idx="5">
                  <c:v>386</c:v>
                </c:pt>
                <c:pt idx="6">
                  <c:v>389</c:v>
                </c:pt>
                <c:pt idx="7">
                  <c:v>393</c:v>
                </c:pt>
                <c:pt idx="8">
                  <c:v>396</c:v>
                </c:pt>
                <c:pt idx="9">
                  <c:v>399</c:v>
                </c:pt>
                <c:pt idx="10">
                  <c:v>403</c:v>
                </c:pt>
                <c:pt idx="11">
                  <c:v>407</c:v>
                </c:pt>
                <c:pt idx="12">
                  <c:v>410</c:v>
                </c:pt>
                <c:pt idx="13">
                  <c:v>414</c:v>
                </c:pt>
                <c:pt idx="14">
                  <c:v>418</c:v>
                </c:pt>
                <c:pt idx="15">
                  <c:v>423</c:v>
                </c:pt>
                <c:pt idx="16">
                  <c:v>427</c:v>
                </c:pt>
                <c:pt idx="17">
                  <c:v>432</c:v>
                </c:pt>
                <c:pt idx="18">
                  <c:v>436</c:v>
                </c:pt>
                <c:pt idx="19">
                  <c:v>441</c:v>
                </c:pt>
                <c:pt idx="20">
                  <c:v>446</c:v>
                </c:pt>
                <c:pt idx="21">
                  <c:v>452</c:v>
                </c:pt>
                <c:pt idx="22">
                  <c:v>457</c:v>
                </c:pt>
                <c:pt idx="23">
                  <c:v>463</c:v>
                </c:pt>
                <c:pt idx="24">
                  <c:v>469</c:v>
                </c:pt>
                <c:pt idx="25">
                  <c:v>475</c:v>
                </c:pt>
                <c:pt idx="26">
                  <c:v>481</c:v>
                </c:pt>
                <c:pt idx="27">
                  <c:v>487</c:v>
                </c:pt>
                <c:pt idx="28">
                  <c:v>490</c:v>
                </c:pt>
                <c:pt idx="29">
                  <c:v>490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092592"/>
        <c:axId val="2083093680"/>
      </c:lineChart>
      <c:catAx>
        <c:axId val="20830925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083093680"/>
        <c:crosses val="autoZero"/>
        <c:auto val="1"/>
        <c:lblAlgn val="ctr"/>
        <c:lblOffset val="100"/>
        <c:noMultiLvlLbl val="0"/>
      </c:catAx>
      <c:valAx>
        <c:axId val="208309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08309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Resterende hypotheek gedurende</a:t>
            </a:r>
            <a:r>
              <a:rPr lang="en-US" baseline="0">
                <a:solidFill>
                  <a:schemeClr val="tx1"/>
                </a:solidFill>
              </a:rPr>
              <a:t> de looptijd</a:t>
            </a:r>
            <a:endParaRPr lang="en-US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Sheet1!$E$13</c:f>
              <c:strCache>
                <c:ptCount val="1"/>
                <c:pt idx="0">
                  <c:v>Resterende Hypotheek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val>
            <c:numRef>
              <c:f>Sheet1!$E$14:$E$43</c:f>
              <c:numCache>
                <c:formatCode>"€"#,##0_);[Red]\("€"#,##0\)</c:formatCode>
                <c:ptCount val="30"/>
                <c:pt idx="0">
                  <c:v>107104</c:v>
                </c:pt>
                <c:pt idx="1">
                  <c:v>104934</c:v>
                </c:pt>
                <c:pt idx="2">
                  <c:v>102687</c:v>
                </c:pt>
                <c:pt idx="3">
                  <c:v>100359</c:v>
                </c:pt>
                <c:pt idx="4">
                  <c:v>97949</c:v>
                </c:pt>
                <c:pt idx="5">
                  <c:v>95453</c:v>
                </c:pt>
                <c:pt idx="6">
                  <c:v>92869</c:v>
                </c:pt>
                <c:pt idx="7">
                  <c:v>90192</c:v>
                </c:pt>
                <c:pt idx="8">
                  <c:v>87420</c:v>
                </c:pt>
                <c:pt idx="9">
                  <c:v>84550</c:v>
                </c:pt>
                <c:pt idx="10">
                  <c:v>81578</c:v>
                </c:pt>
                <c:pt idx="11">
                  <c:v>78500</c:v>
                </c:pt>
                <c:pt idx="12">
                  <c:v>75312</c:v>
                </c:pt>
                <c:pt idx="13">
                  <c:v>72011</c:v>
                </c:pt>
                <c:pt idx="14">
                  <c:v>68593</c:v>
                </c:pt>
                <c:pt idx="15">
                  <c:v>65053</c:v>
                </c:pt>
                <c:pt idx="16">
                  <c:v>61387</c:v>
                </c:pt>
                <c:pt idx="17">
                  <c:v>57591</c:v>
                </c:pt>
                <c:pt idx="18">
                  <c:v>53659</c:v>
                </c:pt>
                <c:pt idx="19">
                  <c:v>49588</c:v>
                </c:pt>
                <c:pt idx="20">
                  <c:v>45372</c:v>
                </c:pt>
                <c:pt idx="21">
                  <c:v>41006</c:v>
                </c:pt>
                <c:pt idx="22">
                  <c:v>36485</c:v>
                </c:pt>
                <c:pt idx="23">
                  <c:v>31803</c:v>
                </c:pt>
                <c:pt idx="24">
                  <c:v>26955</c:v>
                </c:pt>
                <c:pt idx="25">
                  <c:v>21934</c:v>
                </c:pt>
                <c:pt idx="26">
                  <c:v>16735</c:v>
                </c:pt>
                <c:pt idx="27">
                  <c:v>11350</c:v>
                </c:pt>
                <c:pt idx="28">
                  <c:v>5774</c:v>
                </c:pt>
                <c:pt idx="29" formatCode="&quot;€&quot;#,##0.00_);[Red]\(&quot;€&quot;#,##0.00\)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7630352"/>
        <c:axId val="567631440"/>
      </c:lineChart>
      <c:catAx>
        <c:axId val="5676303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7631440"/>
        <c:crosses val="autoZero"/>
        <c:auto val="1"/>
        <c:lblAlgn val="ctr"/>
        <c:lblOffset val="100"/>
        <c:noMultiLvlLbl val="0"/>
      </c:catAx>
      <c:valAx>
        <c:axId val="56763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763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Betaalde</a:t>
            </a:r>
            <a:r>
              <a:rPr lang="nl-NL" baseline="0">
                <a:solidFill>
                  <a:schemeClr val="tx1"/>
                </a:solidFill>
              </a:rPr>
              <a:t> rente en aflossing gedurende de looptijd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Sheet1!$I$13</c:f>
              <c:strCache>
                <c:ptCount val="1"/>
                <c:pt idx="0">
                  <c:v>Betaalde rente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val>
            <c:numRef>
              <c:f>Sheet1!$I$14:$I$43</c:f>
              <c:numCache>
                <c:formatCode>"€"#,##0_);[Red]\("€"#,##0\)</c:formatCode>
                <c:ptCount val="30"/>
                <c:pt idx="0">
                  <c:v>316</c:v>
                </c:pt>
                <c:pt idx="1">
                  <c:v>310</c:v>
                </c:pt>
                <c:pt idx="2">
                  <c:v>303</c:v>
                </c:pt>
                <c:pt idx="3">
                  <c:v>296</c:v>
                </c:pt>
                <c:pt idx="4">
                  <c:v>290</c:v>
                </c:pt>
                <c:pt idx="5">
                  <c:v>282</c:v>
                </c:pt>
                <c:pt idx="6">
                  <c:v>275</c:v>
                </c:pt>
                <c:pt idx="7">
                  <c:v>267</c:v>
                </c:pt>
                <c:pt idx="8">
                  <c:v>259</c:v>
                </c:pt>
                <c:pt idx="9">
                  <c:v>251</c:v>
                </c:pt>
                <c:pt idx="10">
                  <c:v>243</c:v>
                </c:pt>
                <c:pt idx="11">
                  <c:v>234</c:v>
                </c:pt>
                <c:pt idx="12">
                  <c:v>225</c:v>
                </c:pt>
                <c:pt idx="13">
                  <c:v>215</c:v>
                </c:pt>
                <c:pt idx="14">
                  <c:v>205</c:v>
                </c:pt>
                <c:pt idx="15">
                  <c:v>195</c:v>
                </c:pt>
                <c:pt idx="16">
                  <c:v>185</c:v>
                </c:pt>
                <c:pt idx="17">
                  <c:v>174</c:v>
                </c:pt>
                <c:pt idx="18">
                  <c:v>163</c:v>
                </c:pt>
                <c:pt idx="19">
                  <c:v>151</c:v>
                </c:pt>
                <c:pt idx="20">
                  <c:v>139</c:v>
                </c:pt>
                <c:pt idx="21">
                  <c:v>127</c:v>
                </c:pt>
                <c:pt idx="22">
                  <c:v>114</c:v>
                </c:pt>
                <c:pt idx="23">
                  <c:v>100</c:v>
                </c:pt>
                <c:pt idx="24">
                  <c:v>86</c:v>
                </c:pt>
                <c:pt idx="25">
                  <c:v>72</c:v>
                </c:pt>
                <c:pt idx="26">
                  <c:v>57</c:v>
                </c:pt>
                <c:pt idx="27">
                  <c:v>42</c:v>
                </c:pt>
                <c:pt idx="28">
                  <c:v>26</c:v>
                </c:pt>
                <c:pt idx="29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Sheet1!$J$13</c:f>
              <c:strCache>
                <c:ptCount val="1"/>
                <c:pt idx="0">
                  <c:v>Betaalde aflossing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Sheet1!$J$14:$J$43</c:f>
              <c:numCache>
                <c:formatCode>"€"#,##0_);[Red]\("€"#,##0\)</c:formatCode>
                <c:ptCount val="30"/>
                <c:pt idx="0">
                  <c:v>175</c:v>
                </c:pt>
                <c:pt idx="1">
                  <c:v>181</c:v>
                </c:pt>
                <c:pt idx="2">
                  <c:v>187</c:v>
                </c:pt>
                <c:pt idx="3">
                  <c:v>194</c:v>
                </c:pt>
                <c:pt idx="4">
                  <c:v>201</c:v>
                </c:pt>
                <c:pt idx="5">
                  <c:v>208</c:v>
                </c:pt>
                <c:pt idx="6">
                  <c:v>215</c:v>
                </c:pt>
                <c:pt idx="7">
                  <c:v>223</c:v>
                </c:pt>
                <c:pt idx="8">
                  <c:v>231</c:v>
                </c:pt>
                <c:pt idx="9">
                  <c:v>239</c:v>
                </c:pt>
                <c:pt idx="10">
                  <c:v>248</c:v>
                </c:pt>
                <c:pt idx="11">
                  <c:v>257</c:v>
                </c:pt>
                <c:pt idx="12">
                  <c:v>266</c:v>
                </c:pt>
                <c:pt idx="13">
                  <c:v>275</c:v>
                </c:pt>
                <c:pt idx="14">
                  <c:v>285</c:v>
                </c:pt>
                <c:pt idx="15">
                  <c:v>295</c:v>
                </c:pt>
                <c:pt idx="16">
                  <c:v>305</c:v>
                </c:pt>
                <c:pt idx="17">
                  <c:v>316</c:v>
                </c:pt>
                <c:pt idx="18">
                  <c:v>328</c:v>
                </c:pt>
                <c:pt idx="19">
                  <c:v>339</c:v>
                </c:pt>
                <c:pt idx="20">
                  <c:v>351</c:v>
                </c:pt>
                <c:pt idx="21">
                  <c:v>364</c:v>
                </c:pt>
                <c:pt idx="22">
                  <c:v>377</c:v>
                </c:pt>
                <c:pt idx="23">
                  <c:v>390</c:v>
                </c:pt>
                <c:pt idx="24">
                  <c:v>404</c:v>
                </c:pt>
                <c:pt idx="25">
                  <c:v>418</c:v>
                </c:pt>
                <c:pt idx="26">
                  <c:v>433</c:v>
                </c:pt>
                <c:pt idx="27">
                  <c:v>449</c:v>
                </c:pt>
                <c:pt idx="28">
                  <c:v>465</c:v>
                </c:pt>
                <c:pt idx="29">
                  <c:v>481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7632528"/>
        <c:axId val="479831312"/>
      </c:lineChart>
      <c:catAx>
        <c:axId val="5676325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79831312"/>
        <c:crosses val="autoZero"/>
        <c:auto val="1"/>
        <c:lblAlgn val="ctr"/>
        <c:lblOffset val="100"/>
        <c:noMultiLvlLbl val="0"/>
      </c:catAx>
      <c:valAx>
        <c:axId val="47983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763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Bruto</a:t>
            </a:r>
            <a:r>
              <a:rPr lang="nl-NL" baseline="0">
                <a:solidFill>
                  <a:schemeClr val="tx1"/>
                </a:solidFill>
              </a:rPr>
              <a:t>- en nettomaandlasten gedurende de looptijd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Sheet1!$I$2</c:f>
              <c:strCache>
                <c:ptCount val="1"/>
                <c:pt idx="0">
                  <c:v>Bruto maandlasten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val>
            <c:numRef>
              <c:f>Sheet1!$I$3:$I$32</c:f>
              <c:numCache>
                <c:formatCode>"€"#,##0_);[Red]\("€"#,##0\)</c:formatCode>
                <c:ptCount val="30"/>
                <c:pt idx="0">
                  <c:v>617</c:v>
                </c:pt>
                <c:pt idx="1">
                  <c:v>606</c:v>
                </c:pt>
                <c:pt idx="2">
                  <c:v>596</c:v>
                </c:pt>
                <c:pt idx="3">
                  <c:v>585</c:v>
                </c:pt>
                <c:pt idx="4">
                  <c:v>575</c:v>
                </c:pt>
                <c:pt idx="5">
                  <c:v>564</c:v>
                </c:pt>
                <c:pt idx="6">
                  <c:v>553</c:v>
                </c:pt>
                <c:pt idx="7">
                  <c:v>543</c:v>
                </c:pt>
                <c:pt idx="8">
                  <c:v>532</c:v>
                </c:pt>
                <c:pt idx="9">
                  <c:v>521</c:v>
                </c:pt>
                <c:pt idx="10">
                  <c:v>511</c:v>
                </c:pt>
                <c:pt idx="11">
                  <c:v>500</c:v>
                </c:pt>
                <c:pt idx="12">
                  <c:v>490</c:v>
                </c:pt>
                <c:pt idx="13">
                  <c:v>479</c:v>
                </c:pt>
                <c:pt idx="14">
                  <c:v>468</c:v>
                </c:pt>
                <c:pt idx="15">
                  <c:v>458</c:v>
                </c:pt>
                <c:pt idx="16">
                  <c:v>447</c:v>
                </c:pt>
                <c:pt idx="17">
                  <c:v>436</c:v>
                </c:pt>
                <c:pt idx="18">
                  <c:v>426</c:v>
                </c:pt>
                <c:pt idx="19">
                  <c:v>415</c:v>
                </c:pt>
                <c:pt idx="20">
                  <c:v>405</c:v>
                </c:pt>
                <c:pt idx="21">
                  <c:v>394</c:v>
                </c:pt>
                <c:pt idx="22">
                  <c:v>383</c:v>
                </c:pt>
                <c:pt idx="23">
                  <c:v>373</c:v>
                </c:pt>
                <c:pt idx="24">
                  <c:v>362</c:v>
                </c:pt>
                <c:pt idx="25">
                  <c:v>352</c:v>
                </c:pt>
                <c:pt idx="26">
                  <c:v>341</c:v>
                </c:pt>
                <c:pt idx="27">
                  <c:v>330</c:v>
                </c:pt>
                <c:pt idx="28">
                  <c:v>320</c:v>
                </c:pt>
                <c:pt idx="29">
                  <c:v>309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Sheet1!$J$2</c:f>
              <c:strCache>
                <c:ptCount val="1"/>
                <c:pt idx="0">
                  <c:v>Netto maandlasten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Sheet1!$J$3:$J$32</c:f>
              <c:numCache>
                <c:formatCode>"€"#,##0_);[Red]\("€"#,##0\)</c:formatCode>
                <c:ptCount val="30"/>
                <c:pt idx="0">
                  <c:v>500</c:v>
                </c:pt>
                <c:pt idx="1">
                  <c:v>494</c:v>
                </c:pt>
                <c:pt idx="2">
                  <c:v>487</c:v>
                </c:pt>
                <c:pt idx="3">
                  <c:v>481</c:v>
                </c:pt>
                <c:pt idx="4">
                  <c:v>475</c:v>
                </c:pt>
                <c:pt idx="5">
                  <c:v>469</c:v>
                </c:pt>
                <c:pt idx="6">
                  <c:v>463</c:v>
                </c:pt>
                <c:pt idx="7">
                  <c:v>457</c:v>
                </c:pt>
                <c:pt idx="8">
                  <c:v>450</c:v>
                </c:pt>
                <c:pt idx="9">
                  <c:v>444</c:v>
                </c:pt>
                <c:pt idx="10">
                  <c:v>438</c:v>
                </c:pt>
                <c:pt idx="11">
                  <c:v>432</c:v>
                </c:pt>
                <c:pt idx="12">
                  <c:v>426</c:v>
                </c:pt>
                <c:pt idx="13">
                  <c:v>420</c:v>
                </c:pt>
                <c:pt idx="14">
                  <c:v>413</c:v>
                </c:pt>
                <c:pt idx="15">
                  <c:v>407</c:v>
                </c:pt>
                <c:pt idx="16">
                  <c:v>401</c:v>
                </c:pt>
                <c:pt idx="17">
                  <c:v>395</c:v>
                </c:pt>
                <c:pt idx="18">
                  <c:v>389</c:v>
                </c:pt>
                <c:pt idx="19">
                  <c:v>383</c:v>
                </c:pt>
                <c:pt idx="20">
                  <c:v>377</c:v>
                </c:pt>
                <c:pt idx="21">
                  <c:v>370</c:v>
                </c:pt>
                <c:pt idx="22">
                  <c:v>364</c:v>
                </c:pt>
                <c:pt idx="23">
                  <c:v>358</c:v>
                </c:pt>
                <c:pt idx="24">
                  <c:v>352</c:v>
                </c:pt>
                <c:pt idx="25">
                  <c:v>346</c:v>
                </c:pt>
                <c:pt idx="26">
                  <c:v>340</c:v>
                </c:pt>
                <c:pt idx="27">
                  <c:v>330</c:v>
                </c:pt>
                <c:pt idx="28">
                  <c:v>320</c:v>
                </c:pt>
                <c:pt idx="29">
                  <c:v>309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830768"/>
        <c:axId val="479831856"/>
      </c:lineChart>
      <c:catAx>
        <c:axId val="479830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79831856"/>
        <c:crosses val="autoZero"/>
        <c:auto val="1"/>
        <c:lblAlgn val="ctr"/>
        <c:lblOffset val="100"/>
        <c:noMultiLvlLbl val="0"/>
      </c:catAx>
      <c:valAx>
        <c:axId val="47983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7983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Resterende hypotheek gedurende de looptijd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Sheet1!$F$2</c:f>
              <c:strCache>
                <c:ptCount val="1"/>
                <c:pt idx="0">
                  <c:v>Resterende hypotheek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Sheet1!$F$3:$F$32</c:f>
              <c:numCache>
                <c:formatCode>"€"#,##0_);[Red]\("€"#,##0\)</c:formatCode>
                <c:ptCount val="30"/>
                <c:pt idx="0">
                  <c:v>105560</c:v>
                </c:pt>
                <c:pt idx="1">
                  <c:v>101920</c:v>
                </c:pt>
                <c:pt idx="2">
                  <c:v>98280</c:v>
                </c:pt>
                <c:pt idx="3">
                  <c:v>94640</c:v>
                </c:pt>
                <c:pt idx="4">
                  <c:v>91000</c:v>
                </c:pt>
                <c:pt idx="5">
                  <c:v>87360</c:v>
                </c:pt>
                <c:pt idx="6">
                  <c:v>83720</c:v>
                </c:pt>
                <c:pt idx="7">
                  <c:v>80080</c:v>
                </c:pt>
                <c:pt idx="8">
                  <c:v>76440</c:v>
                </c:pt>
                <c:pt idx="9">
                  <c:v>72800</c:v>
                </c:pt>
                <c:pt idx="10">
                  <c:v>69160</c:v>
                </c:pt>
                <c:pt idx="11">
                  <c:v>65520</c:v>
                </c:pt>
                <c:pt idx="12">
                  <c:v>61880</c:v>
                </c:pt>
                <c:pt idx="13">
                  <c:v>58240</c:v>
                </c:pt>
                <c:pt idx="14">
                  <c:v>54600</c:v>
                </c:pt>
                <c:pt idx="15">
                  <c:v>50960</c:v>
                </c:pt>
                <c:pt idx="16">
                  <c:v>47320</c:v>
                </c:pt>
                <c:pt idx="17">
                  <c:v>43680</c:v>
                </c:pt>
                <c:pt idx="18">
                  <c:v>40040</c:v>
                </c:pt>
                <c:pt idx="19">
                  <c:v>36400</c:v>
                </c:pt>
                <c:pt idx="20">
                  <c:v>32760</c:v>
                </c:pt>
                <c:pt idx="21">
                  <c:v>29120</c:v>
                </c:pt>
                <c:pt idx="22">
                  <c:v>25480</c:v>
                </c:pt>
                <c:pt idx="23">
                  <c:v>21840</c:v>
                </c:pt>
                <c:pt idx="24">
                  <c:v>18200</c:v>
                </c:pt>
                <c:pt idx="25">
                  <c:v>14560</c:v>
                </c:pt>
                <c:pt idx="26">
                  <c:v>10920</c:v>
                </c:pt>
                <c:pt idx="27">
                  <c:v>7280</c:v>
                </c:pt>
                <c:pt idx="28">
                  <c:v>3640</c:v>
                </c:pt>
                <c:pt idx="2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143296"/>
        <c:axId val="565143840"/>
      </c:lineChart>
      <c:catAx>
        <c:axId val="5651432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5143840"/>
        <c:crosses val="autoZero"/>
        <c:auto val="1"/>
        <c:lblAlgn val="ctr"/>
        <c:lblOffset val="100"/>
        <c:noMultiLvlLbl val="0"/>
      </c:catAx>
      <c:valAx>
        <c:axId val="56514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514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Betaalde rente en aflossing gedurende de looptijd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Betaalde rente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Sheet1!$G$3:$G$32</c:f>
              <c:numCache>
                <c:formatCode>"€"#,##0_);[Red]\("€"#,##0\)</c:formatCode>
                <c:ptCount val="30"/>
                <c:pt idx="0">
                  <c:v>314</c:v>
                </c:pt>
                <c:pt idx="1">
                  <c:v>303</c:v>
                </c:pt>
                <c:pt idx="2">
                  <c:v>292</c:v>
                </c:pt>
                <c:pt idx="3">
                  <c:v>282</c:v>
                </c:pt>
                <c:pt idx="4">
                  <c:v>271</c:v>
                </c:pt>
                <c:pt idx="5">
                  <c:v>261</c:v>
                </c:pt>
                <c:pt idx="6">
                  <c:v>250</c:v>
                </c:pt>
                <c:pt idx="7">
                  <c:v>239</c:v>
                </c:pt>
                <c:pt idx="8">
                  <c:v>229</c:v>
                </c:pt>
                <c:pt idx="9">
                  <c:v>218</c:v>
                </c:pt>
                <c:pt idx="10">
                  <c:v>207</c:v>
                </c:pt>
                <c:pt idx="11">
                  <c:v>197</c:v>
                </c:pt>
                <c:pt idx="12">
                  <c:v>186</c:v>
                </c:pt>
                <c:pt idx="13">
                  <c:v>176</c:v>
                </c:pt>
                <c:pt idx="14">
                  <c:v>165</c:v>
                </c:pt>
                <c:pt idx="15">
                  <c:v>154</c:v>
                </c:pt>
                <c:pt idx="16">
                  <c:v>144</c:v>
                </c:pt>
                <c:pt idx="17">
                  <c:v>133</c:v>
                </c:pt>
                <c:pt idx="18">
                  <c:v>123</c:v>
                </c:pt>
                <c:pt idx="19">
                  <c:v>112</c:v>
                </c:pt>
                <c:pt idx="20">
                  <c:v>101</c:v>
                </c:pt>
                <c:pt idx="21">
                  <c:v>91</c:v>
                </c:pt>
                <c:pt idx="22">
                  <c:v>80</c:v>
                </c:pt>
                <c:pt idx="23">
                  <c:v>69</c:v>
                </c:pt>
                <c:pt idx="24">
                  <c:v>59</c:v>
                </c:pt>
                <c:pt idx="25">
                  <c:v>48</c:v>
                </c:pt>
                <c:pt idx="26">
                  <c:v>38</c:v>
                </c:pt>
                <c:pt idx="27">
                  <c:v>27</c:v>
                </c:pt>
                <c:pt idx="28">
                  <c:v>16</c:v>
                </c:pt>
                <c:pt idx="29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Sheet1!$H$2</c:f>
              <c:strCache>
                <c:ptCount val="1"/>
                <c:pt idx="0">
                  <c:v>Betaalde aflossing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Sheet1!$H$3:$H$32</c:f>
              <c:numCache>
                <c:formatCode>"€"#,##0_);[Red]\("€"#,##0\)</c:formatCode>
                <c:ptCount val="30"/>
                <c:pt idx="0">
                  <c:v>303</c:v>
                </c:pt>
                <c:pt idx="1">
                  <c:v>303</c:v>
                </c:pt>
                <c:pt idx="2">
                  <c:v>303</c:v>
                </c:pt>
                <c:pt idx="3">
                  <c:v>303</c:v>
                </c:pt>
                <c:pt idx="4">
                  <c:v>303</c:v>
                </c:pt>
                <c:pt idx="5">
                  <c:v>303</c:v>
                </c:pt>
                <c:pt idx="6">
                  <c:v>303</c:v>
                </c:pt>
                <c:pt idx="7">
                  <c:v>303</c:v>
                </c:pt>
                <c:pt idx="8">
                  <c:v>303</c:v>
                </c:pt>
                <c:pt idx="9">
                  <c:v>303</c:v>
                </c:pt>
                <c:pt idx="10">
                  <c:v>303</c:v>
                </c:pt>
                <c:pt idx="11">
                  <c:v>303</c:v>
                </c:pt>
                <c:pt idx="12">
                  <c:v>303</c:v>
                </c:pt>
                <c:pt idx="13">
                  <c:v>303</c:v>
                </c:pt>
                <c:pt idx="14">
                  <c:v>303</c:v>
                </c:pt>
                <c:pt idx="15">
                  <c:v>303</c:v>
                </c:pt>
                <c:pt idx="16">
                  <c:v>303</c:v>
                </c:pt>
                <c:pt idx="17">
                  <c:v>303</c:v>
                </c:pt>
                <c:pt idx="18">
                  <c:v>303</c:v>
                </c:pt>
                <c:pt idx="19">
                  <c:v>303</c:v>
                </c:pt>
                <c:pt idx="20">
                  <c:v>303</c:v>
                </c:pt>
                <c:pt idx="21">
                  <c:v>303</c:v>
                </c:pt>
                <c:pt idx="22">
                  <c:v>303</c:v>
                </c:pt>
                <c:pt idx="23">
                  <c:v>303</c:v>
                </c:pt>
                <c:pt idx="24">
                  <c:v>303</c:v>
                </c:pt>
                <c:pt idx="25">
                  <c:v>303</c:v>
                </c:pt>
                <c:pt idx="26">
                  <c:v>303</c:v>
                </c:pt>
                <c:pt idx="27">
                  <c:v>303</c:v>
                </c:pt>
                <c:pt idx="28">
                  <c:v>303</c:v>
                </c:pt>
                <c:pt idx="29">
                  <c:v>303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144384"/>
        <c:axId val="565146560"/>
      </c:lineChart>
      <c:catAx>
        <c:axId val="5651443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5146560"/>
        <c:crosses val="autoZero"/>
        <c:auto val="1"/>
        <c:lblAlgn val="ctr"/>
        <c:lblOffset val="100"/>
        <c:noMultiLvlLbl val="0"/>
      </c:catAx>
      <c:valAx>
        <c:axId val="56514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6514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Vergelijking</a:t>
            </a:r>
            <a:r>
              <a:rPr lang="nl-NL" baseline="0">
                <a:solidFill>
                  <a:schemeClr val="tx1"/>
                </a:solidFill>
              </a:rPr>
              <a:t> aflossing tussen annuïteiten- en lineaire hypotheek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Betaalde rente annuïteitenhypotheek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Sheet1!$A$2:$A$31</c:f>
              <c:numCache>
                <c:formatCode>"€"#,##0_);[Red]\("€"#,##0\)</c:formatCode>
                <c:ptCount val="30"/>
                <c:pt idx="0">
                  <c:v>316</c:v>
                </c:pt>
                <c:pt idx="1">
                  <c:v>310</c:v>
                </c:pt>
                <c:pt idx="2">
                  <c:v>303</c:v>
                </c:pt>
                <c:pt idx="3">
                  <c:v>296</c:v>
                </c:pt>
                <c:pt idx="4">
                  <c:v>290</c:v>
                </c:pt>
                <c:pt idx="5">
                  <c:v>282</c:v>
                </c:pt>
                <c:pt idx="6">
                  <c:v>275</c:v>
                </c:pt>
                <c:pt idx="7">
                  <c:v>267</c:v>
                </c:pt>
                <c:pt idx="8">
                  <c:v>259</c:v>
                </c:pt>
                <c:pt idx="9">
                  <c:v>251</c:v>
                </c:pt>
                <c:pt idx="10">
                  <c:v>243</c:v>
                </c:pt>
                <c:pt idx="11">
                  <c:v>234</c:v>
                </c:pt>
                <c:pt idx="12">
                  <c:v>225</c:v>
                </c:pt>
                <c:pt idx="13">
                  <c:v>215</c:v>
                </c:pt>
                <c:pt idx="14">
                  <c:v>205</c:v>
                </c:pt>
                <c:pt idx="15">
                  <c:v>195</c:v>
                </c:pt>
                <c:pt idx="16">
                  <c:v>185</c:v>
                </c:pt>
                <c:pt idx="17">
                  <c:v>174</c:v>
                </c:pt>
                <c:pt idx="18">
                  <c:v>163</c:v>
                </c:pt>
                <c:pt idx="19">
                  <c:v>151</c:v>
                </c:pt>
                <c:pt idx="20">
                  <c:v>139</c:v>
                </c:pt>
                <c:pt idx="21">
                  <c:v>127</c:v>
                </c:pt>
                <c:pt idx="22">
                  <c:v>114</c:v>
                </c:pt>
                <c:pt idx="23">
                  <c:v>100</c:v>
                </c:pt>
                <c:pt idx="24">
                  <c:v>86</c:v>
                </c:pt>
                <c:pt idx="25">
                  <c:v>72</c:v>
                </c:pt>
                <c:pt idx="26">
                  <c:v>57</c:v>
                </c:pt>
                <c:pt idx="27">
                  <c:v>42</c:v>
                </c:pt>
                <c:pt idx="28">
                  <c:v>26</c:v>
                </c:pt>
                <c:pt idx="29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Betaalde rente lineaire hypotheek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Sheet1!$B$2:$B$31</c:f>
              <c:numCache>
                <c:formatCode>"€"#,##0_);[Red]\("€"#,##0\)</c:formatCode>
                <c:ptCount val="30"/>
                <c:pt idx="0">
                  <c:v>314</c:v>
                </c:pt>
                <c:pt idx="1">
                  <c:v>303</c:v>
                </c:pt>
                <c:pt idx="2">
                  <c:v>292</c:v>
                </c:pt>
                <c:pt idx="3">
                  <c:v>282</c:v>
                </c:pt>
                <c:pt idx="4">
                  <c:v>271</c:v>
                </c:pt>
                <c:pt idx="5">
                  <c:v>261</c:v>
                </c:pt>
                <c:pt idx="6">
                  <c:v>250</c:v>
                </c:pt>
                <c:pt idx="7">
                  <c:v>239</c:v>
                </c:pt>
                <c:pt idx="8">
                  <c:v>229</c:v>
                </c:pt>
                <c:pt idx="9">
                  <c:v>218</c:v>
                </c:pt>
                <c:pt idx="10">
                  <c:v>207</c:v>
                </c:pt>
                <c:pt idx="11">
                  <c:v>197</c:v>
                </c:pt>
                <c:pt idx="12">
                  <c:v>186</c:v>
                </c:pt>
                <c:pt idx="13">
                  <c:v>176</c:v>
                </c:pt>
                <c:pt idx="14">
                  <c:v>165</c:v>
                </c:pt>
                <c:pt idx="15">
                  <c:v>154</c:v>
                </c:pt>
                <c:pt idx="16">
                  <c:v>144</c:v>
                </c:pt>
                <c:pt idx="17">
                  <c:v>133</c:v>
                </c:pt>
                <c:pt idx="18">
                  <c:v>123</c:v>
                </c:pt>
                <c:pt idx="19">
                  <c:v>112</c:v>
                </c:pt>
                <c:pt idx="20">
                  <c:v>101</c:v>
                </c:pt>
                <c:pt idx="21">
                  <c:v>91</c:v>
                </c:pt>
                <c:pt idx="22">
                  <c:v>80</c:v>
                </c:pt>
                <c:pt idx="23">
                  <c:v>69</c:v>
                </c:pt>
                <c:pt idx="24">
                  <c:v>59</c:v>
                </c:pt>
                <c:pt idx="25">
                  <c:v>48</c:v>
                </c:pt>
                <c:pt idx="26">
                  <c:v>38</c:v>
                </c:pt>
                <c:pt idx="27">
                  <c:v>27</c:v>
                </c:pt>
                <c:pt idx="28">
                  <c:v>16</c:v>
                </c:pt>
                <c:pt idx="29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0642752"/>
        <c:axId val="480644384"/>
      </c:lineChart>
      <c:catAx>
        <c:axId val="4806427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80644384"/>
        <c:crosses val="autoZero"/>
        <c:auto val="1"/>
        <c:lblAlgn val="ctr"/>
        <c:lblOffset val="100"/>
        <c:noMultiLvlLbl val="0"/>
      </c:catAx>
      <c:valAx>
        <c:axId val="48064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8064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Vergelijking resterende annuïteiten-</a:t>
            </a:r>
            <a:r>
              <a:rPr lang="nl-NL" baseline="0">
                <a:solidFill>
                  <a:schemeClr val="tx1"/>
                </a:solidFill>
              </a:rPr>
              <a:t> en lineaire hypotheek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Betaalde rente annuïteitenhypotheek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Sheet1!$A$2:$A$31</c:f>
              <c:numCache>
                <c:formatCode>"€"#,##0_);[Red]\("€"#,##0\)</c:formatCode>
                <c:ptCount val="30"/>
                <c:pt idx="0">
                  <c:v>316</c:v>
                </c:pt>
                <c:pt idx="1">
                  <c:v>310</c:v>
                </c:pt>
                <c:pt idx="2">
                  <c:v>303</c:v>
                </c:pt>
                <c:pt idx="3">
                  <c:v>296</c:v>
                </c:pt>
                <c:pt idx="4">
                  <c:v>290</c:v>
                </c:pt>
                <c:pt idx="5">
                  <c:v>282</c:v>
                </c:pt>
                <c:pt idx="6">
                  <c:v>275</c:v>
                </c:pt>
                <c:pt idx="7">
                  <c:v>267</c:v>
                </c:pt>
                <c:pt idx="8">
                  <c:v>259</c:v>
                </c:pt>
                <c:pt idx="9">
                  <c:v>251</c:v>
                </c:pt>
                <c:pt idx="10">
                  <c:v>243</c:v>
                </c:pt>
                <c:pt idx="11">
                  <c:v>234</c:v>
                </c:pt>
                <c:pt idx="12">
                  <c:v>225</c:v>
                </c:pt>
                <c:pt idx="13">
                  <c:v>215</c:v>
                </c:pt>
                <c:pt idx="14">
                  <c:v>205</c:v>
                </c:pt>
                <c:pt idx="15">
                  <c:v>195</c:v>
                </c:pt>
                <c:pt idx="16">
                  <c:v>185</c:v>
                </c:pt>
                <c:pt idx="17">
                  <c:v>174</c:v>
                </c:pt>
                <c:pt idx="18">
                  <c:v>163</c:v>
                </c:pt>
                <c:pt idx="19">
                  <c:v>151</c:v>
                </c:pt>
                <c:pt idx="20">
                  <c:v>139</c:v>
                </c:pt>
                <c:pt idx="21">
                  <c:v>127</c:v>
                </c:pt>
                <c:pt idx="22">
                  <c:v>114</c:v>
                </c:pt>
                <c:pt idx="23">
                  <c:v>100</c:v>
                </c:pt>
                <c:pt idx="24">
                  <c:v>86</c:v>
                </c:pt>
                <c:pt idx="25">
                  <c:v>72</c:v>
                </c:pt>
                <c:pt idx="26">
                  <c:v>57</c:v>
                </c:pt>
                <c:pt idx="27">
                  <c:v>42</c:v>
                </c:pt>
                <c:pt idx="28">
                  <c:v>26</c:v>
                </c:pt>
                <c:pt idx="29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Betaalde rente lineaire hypotheek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Sheet1!$B$2:$B$31</c:f>
              <c:numCache>
                <c:formatCode>"€"#,##0_);[Red]\("€"#,##0\)</c:formatCode>
                <c:ptCount val="30"/>
                <c:pt idx="0">
                  <c:v>314</c:v>
                </c:pt>
                <c:pt idx="1">
                  <c:v>303</c:v>
                </c:pt>
                <c:pt idx="2">
                  <c:v>292</c:v>
                </c:pt>
                <c:pt idx="3">
                  <c:v>282</c:v>
                </c:pt>
                <c:pt idx="4">
                  <c:v>271</c:v>
                </c:pt>
                <c:pt idx="5">
                  <c:v>261</c:v>
                </c:pt>
                <c:pt idx="6">
                  <c:v>250</c:v>
                </c:pt>
                <c:pt idx="7">
                  <c:v>239</c:v>
                </c:pt>
                <c:pt idx="8">
                  <c:v>229</c:v>
                </c:pt>
                <c:pt idx="9">
                  <c:v>218</c:v>
                </c:pt>
                <c:pt idx="10">
                  <c:v>207</c:v>
                </c:pt>
                <c:pt idx="11">
                  <c:v>197</c:v>
                </c:pt>
                <c:pt idx="12">
                  <c:v>186</c:v>
                </c:pt>
                <c:pt idx="13">
                  <c:v>176</c:v>
                </c:pt>
                <c:pt idx="14">
                  <c:v>165</c:v>
                </c:pt>
                <c:pt idx="15">
                  <c:v>154</c:v>
                </c:pt>
                <c:pt idx="16">
                  <c:v>144</c:v>
                </c:pt>
                <c:pt idx="17">
                  <c:v>133</c:v>
                </c:pt>
                <c:pt idx="18">
                  <c:v>123</c:v>
                </c:pt>
                <c:pt idx="19">
                  <c:v>112</c:v>
                </c:pt>
                <c:pt idx="20">
                  <c:v>101</c:v>
                </c:pt>
                <c:pt idx="21">
                  <c:v>91</c:v>
                </c:pt>
                <c:pt idx="22">
                  <c:v>80</c:v>
                </c:pt>
                <c:pt idx="23">
                  <c:v>69</c:v>
                </c:pt>
                <c:pt idx="24">
                  <c:v>59</c:v>
                </c:pt>
                <c:pt idx="25">
                  <c:v>48</c:v>
                </c:pt>
                <c:pt idx="26">
                  <c:v>38</c:v>
                </c:pt>
                <c:pt idx="27">
                  <c:v>27</c:v>
                </c:pt>
                <c:pt idx="28">
                  <c:v>16</c:v>
                </c:pt>
                <c:pt idx="29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0641664"/>
        <c:axId val="480642208"/>
      </c:lineChart>
      <c:catAx>
        <c:axId val="4806416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80642208"/>
        <c:crosses val="autoZero"/>
        <c:auto val="1"/>
        <c:lblAlgn val="ctr"/>
        <c:lblOffset val="100"/>
        <c:noMultiLvlLbl val="0"/>
      </c:catAx>
      <c:valAx>
        <c:axId val="48064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8064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>
                <a:solidFill>
                  <a:schemeClr val="tx1"/>
                </a:solidFill>
              </a:rPr>
              <a:t>Vergelijking betaalde rente tussen annuïteiten-</a:t>
            </a:r>
            <a:r>
              <a:rPr lang="nl-NL" baseline="0">
                <a:solidFill>
                  <a:schemeClr val="tx1"/>
                </a:solidFill>
              </a:rPr>
              <a:t> en lineaire hypotheek </a:t>
            </a:r>
            <a:endParaRPr lang="nl-N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Betaalde rente annuïteitenhypotheek</c:v>
                </c:pt>
              </c:strCache>
            </c:strRef>
          </c:tx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Sheet1!$A$2:$A$31</c:f>
              <c:numCache>
                <c:formatCode>"€"#,##0_);[Red]\("€"#,##0\)</c:formatCode>
                <c:ptCount val="30"/>
                <c:pt idx="0">
                  <c:v>316</c:v>
                </c:pt>
                <c:pt idx="1">
                  <c:v>310</c:v>
                </c:pt>
                <c:pt idx="2">
                  <c:v>303</c:v>
                </c:pt>
                <c:pt idx="3">
                  <c:v>296</c:v>
                </c:pt>
                <c:pt idx="4">
                  <c:v>290</c:v>
                </c:pt>
                <c:pt idx="5">
                  <c:v>282</c:v>
                </c:pt>
                <c:pt idx="6">
                  <c:v>275</c:v>
                </c:pt>
                <c:pt idx="7">
                  <c:v>267</c:v>
                </c:pt>
                <c:pt idx="8">
                  <c:v>259</c:v>
                </c:pt>
                <c:pt idx="9">
                  <c:v>251</c:v>
                </c:pt>
                <c:pt idx="10">
                  <c:v>243</c:v>
                </c:pt>
                <c:pt idx="11">
                  <c:v>234</c:v>
                </c:pt>
                <c:pt idx="12">
                  <c:v>225</c:v>
                </c:pt>
                <c:pt idx="13">
                  <c:v>215</c:v>
                </c:pt>
                <c:pt idx="14">
                  <c:v>205</c:v>
                </c:pt>
                <c:pt idx="15">
                  <c:v>195</c:v>
                </c:pt>
                <c:pt idx="16">
                  <c:v>185</c:v>
                </c:pt>
                <c:pt idx="17">
                  <c:v>174</c:v>
                </c:pt>
                <c:pt idx="18">
                  <c:v>163</c:v>
                </c:pt>
                <c:pt idx="19">
                  <c:v>151</c:v>
                </c:pt>
                <c:pt idx="20">
                  <c:v>139</c:v>
                </c:pt>
                <c:pt idx="21">
                  <c:v>127</c:v>
                </c:pt>
                <c:pt idx="22">
                  <c:v>114</c:v>
                </c:pt>
                <c:pt idx="23">
                  <c:v>100</c:v>
                </c:pt>
                <c:pt idx="24">
                  <c:v>86</c:v>
                </c:pt>
                <c:pt idx="25">
                  <c:v>72</c:v>
                </c:pt>
                <c:pt idx="26">
                  <c:v>57</c:v>
                </c:pt>
                <c:pt idx="27">
                  <c:v>42</c:v>
                </c:pt>
                <c:pt idx="28">
                  <c:v>26</c:v>
                </c:pt>
                <c:pt idx="29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Betaalde rente lineaire hypotheek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Sheet1!$B$2:$B$31</c:f>
              <c:numCache>
                <c:formatCode>"€"#,##0_);[Red]\("€"#,##0\)</c:formatCode>
                <c:ptCount val="30"/>
                <c:pt idx="0">
                  <c:v>314</c:v>
                </c:pt>
                <c:pt idx="1">
                  <c:v>303</c:v>
                </c:pt>
                <c:pt idx="2">
                  <c:v>292</c:v>
                </c:pt>
                <c:pt idx="3">
                  <c:v>282</c:v>
                </c:pt>
                <c:pt idx="4">
                  <c:v>271</c:v>
                </c:pt>
                <c:pt idx="5">
                  <c:v>261</c:v>
                </c:pt>
                <c:pt idx="6">
                  <c:v>250</c:v>
                </c:pt>
                <c:pt idx="7">
                  <c:v>239</c:v>
                </c:pt>
                <c:pt idx="8">
                  <c:v>229</c:v>
                </c:pt>
                <c:pt idx="9">
                  <c:v>218</c:v>
                </c:pt>
                <c:pt idx="10">
                  <c:v>207</c:v>
                </c:pt>
                <c:pt idx="11">
                  <c:v>197</c:v>
                </c:pt>
                <c:pt idx="12">
                  <c:v>186</c:v>
                </c:pt>
                <c:pt idx="13">
                  <c:v>176</c:v>
                </c:pt>
                <c:pt idx="14">
                  <c:v>165</c:v>
                </c:pt>
                <c:pt idx="15">
                  <c:v>154</c:v>
                </c:pt>
                <c:pt idx="16">
                  <c:v>144</c:v>
                </c:pt>
                <c:pt idx="17">
                  <c:v>133</c:v>
                </c:pt>
                <c:pt idx="18">
                  <c:v>123</c:v>
                </c:pt>
                <c:pt idx="19">
                  <c:v>112</c:v>
                </c:pt>
                <c:pt idx="20">
                  <c:v>101</c:v>
                </c:pt>
                <c:pt idx="21">
                  <c:v>91</c:v>
                </c:pt>
                <c:pt idx="22">
                  <c:v>80</c:v>
                </c:pt>
                <c:pt idx="23">
                  <c:v>69</c:v>
                </c:pt>
                <c:pt idx="24">
                  <c:v>59</c:v>
                </c:pt>
                <c:pt idx="25">
                  <c:v>48</c:v>
                </c:pt>
                <c:pt idx="26">
                  <c:v>38</c:v>
                </c:pt>
                <c:pt idx="27">
                  <c:v>27</c:v>
                </c:pt>
                <c:pt idx="28">
                  <c:v>16</c:v>
                </c:pt>
                <c:pt idx="29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1695584"/>
        <c:axId val="478866416"/>
      </c:lineChart>
      <c:catAx>
        <c:axId val="5416955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78866416"/>
        <c:crosses val="autoZero"/>
        <c:auto val="1"/>
        <c:lblAlgn val="ctr"/>
        <c:lblOffset val="100"/>
        <c:noMultiLvlLbl val="0"/>
      </c:catAx>
      <c:valAx>
        <c:axId val="47886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_);[Red]\(&quot;€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4169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M.</dc:creator>
  <cp:keywords/>
  <dc:description/>
  <cp:lastModifiedBy>Jordy M.</cp:lastModifiedBy>
  <cp:revision>1</cp:revision>
  <dcterms:created xsi:type="dcterms:W3CDTF">2015-03-03T17:36:00Z</dcterms:created>
  <dcterms:modified xsi:type="dcterms:W3CDTF">2015-03-03T17:36:00Z</dcterms:modified>
</cp:coreProperties>
</file>