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9" w:rsidRPr="00A50DA2" w:rsidRDefault="00A50DA2">
      <w:pPr>
        <w:rPr>
          <w:b/>
          <w:sz w:val="28"/>
          <w:szCs w:val="28"/>
        </w:rPr>
      </w:pPr>
      <w:r w:rsidRPr="00A50DA2">
        <w:rPr>
          <w:b/>
          <w:sz w:val="28"/>
          <w:szCs w:val="28"/>
        </w:rPr>
        <w:t>Begrippenlijst Maatschappijleer</w:t>
      </w:r>
    </w:p>
    <w:p w:rsidR="00A50DA2" w:rsidRPr="00A50DA2" w:rsidRDefault="00A50DA2">
      <w:pPr>
        <w:rPr>
          <w:b/>
          <w:sz w:val="28"/>
          <w:szCs w:val="28"/>
        </w:rPr>
      </w:pPr>
      <w:r w:rsidRPr="00A50DA2">
        <w:rPr>
          <w:b/>
          <w:sz w:val="28"/>
          <w:szCs w:val="28"/>
        </w:rPr>
        <w:t>Thema 4: Pluriforme Samenleving</w:t>
      </w:r>
    </w:p>
    <w:p w:rsidR="00A50DA2" w:rsidRDefault="00A50DA2" w:rsidP="00A50DA2">
      <w:pPr>
        <w:rPr>
          <w:rFonts w:cs="Arial"/>
          <w:b/>
        </w:rPr>
      </w:pPr>
      <w:r w:rsidRPr="00A50DA2">
        <w:rPr>
          <w:rFonts w:cs="Arial"/>
          <w:b/>
        </w:rPr>
        <w:t>§</w:t>
      </w:r>
      <w:r>
        <w:rPr>
          <w:rFonts w:cs="Arial"/>
          <w:b/>
        </w:rPr>
        <w:t>1: Cultuur en identiteit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Cultuur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Alle waarden, normen en andere aangeleerde kenmerken, die leden van een groep of samenleving gemeen hebben en als van zelfsprekend worden beschouwd.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Identiteit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Je persoonlijkheid. Ieder heeft een eigen karakter, iedere persoon is als zodanig uniek.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Referentiekader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Een referentiekader bindt mensen, omdat ze dan dezelfde normen, waarden en gewoonten delen.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Gedragsregulering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Het geordend verlopen van het gedrag van mensen in de samenleving.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Rolgedrag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Het vervullen van verschillende rollen in ieder zijn/haar leven.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Presentation of the self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De manier waarop we ons in een rol laten zien.</w:t>
      </w:r>
    </w:p>
    <w:p w:rsidR="00BB3C2D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>
        <w:rPr>
          <w:rFonts w:cs="Arial"/>
          <w:u w:val="single"/>
        </w:rPr>
        <w:t>Impr</w:t>
      </w:r>
      <w:r w:rsidR="00BB3C2D" w:rsidRPr="000A5946">
        <w:rPr>
          <w:rFonts w:cs="Arial"/>
          <w:u w:val="single"/>
        </w:rPr>
        <w:t>ession management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Het spelen van een rol die op een bepaald moment van men verwacht wordt.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Dominante cultuur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De overheersende cultuur zoals die in een land geldt.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Subcultuur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Onderdeel van de dominante cultuur en op bepaalde manieren afwijkend.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Etnische subcultuur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Een subcultuur van mensen die behoren tot dezelfde etnische groep.</w:t>
      </w:r>
    </w:p>
    <w:p w:rsidR="00BB3C2D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Tegencultuur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Cultuur volledig afwijkend van de dominante cultuur.</w:t>
      </w:r>
    </w:p>
    <w:p w:rsidR="000A5946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Socialisatie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Het proces waarbij mensen waarden, normen en andere cultuurkenmerken aanleren</w:t>
      </w:r>
    </w:p>
    <w:p w:rsidR="000A5946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Imitatie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Het nadoen van gedrag van mensen met wie je een sterke binding hebt.</w:t>
      </w:r>
    </w:p>
    <w:p w:rsidR="000A5946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Socialiserende instituties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Instellingen, organisaties en collectieve gedragspatronen waarbinnen en waarlangs de cultuuroverdracht in een samenleving plaatsvindt.</w:t>
      </w:r>
    </w:p>
    <w:p w:rsidR="000A5946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Sociale controle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De manier waarop mensen anderen stimuleren of dwingen zich aan de geldende normen te houden.</w:t>
      </w:r>
    </w:p>
    <w:p w:rsidR="000A5946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Formele sociale controle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Sociale controle gebaseerd op geschreven regels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Informele sociale controle</w:t>
      </w:r>
    </w:p>
    <w:p w:rsidR="00A50DA2" w:rsidRPr="00BB3C2D" w:rsidRDefault="00A50DA2" w:rsidP="00BB3C2D">
      <w:pPr>
        <w:ind w:left="426"/>
        <w:rPr>
          <w:u w:val="single"/>
        </w:rPr>
      </w:pPr>
      <w:r>
        <w:t>Beleefdheidsvormen en andere ongeschreven regels.</w:t>
      </w:r>
    </w:p>
    <w:p w:rsidR="00A50DA2" w:rsidRP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Enculturatie</w:t>
      </w:r>
    </w:p>
    <w:p w:rsidR="00A50DA2" w:rsidRDefault="00A50DA2" w:rsidP="00A50DA2">
      <w:pPr>
        <w:ind w:left="426"/>
      </w:pPr>
      <w:r>
        <w:t>Cultuurkenmerken van je eigen cultuur die je aanleert en overneemt.</w:t>
      </w:r>
    </w:p>
    <w:p w:rsidR="00A50DA2" w:rsidRP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Acculturatie</w:t>
      </w:r>
    </w:p>
    <w:p w:rsidR="00A50DA2" w:rsidRDefault="00A50DA2" w:rsidP="00A50DA2">
      <w:pPr>
        <w:ind w:left="426"/>
      </w:pPr>
      <w:r>
        <w:t>Het overnemen van cultuurkenmerken waartoe je oorspronkelijk niet behoort.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Internalisatie</w:t>
      </w:r>
    </w:p>
    <w:p w:rsidR="00A50DA2" w:rsidRPr="00BB3C2D" w:rsidRDefault="00BB3C2D" w:rsidP="00BB3C2D">
      <w:pPr>
        <w:ind w:left="426"/>
        <w:rPr>
          <w:u w:val="single"/>
        </w:rPr>
      </w:pPr>
      <w:r>
        <w:t>Gewoonten die je vanuit de cultuur als automatisme aanleert.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lastRenderedPageBreak/>
        <w:t>Groepsidentificatie</w:t>
      </w:r>
    </w:p>
    <w:p w:rsidR="00BB3C2D" w:rsidRPr="00BB3C2D" w:rsidRDefault="00BB3C2D" w:rsidP="00BB3C2D">
      <w:pPr>
        <w:ind w:left="426"/>
      </w:pPr>
      <w:r>
        <w:t>Het zich verwant voelen met de dominante cultuur en met de cultuur van kleinere groepen.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Individualistisch</w:t>
      </w:r>
    </w:p>
    <w:p w:rsidR="00BB3C2D" w:rsidRPr="00BB3C2D" w:rsidRDefault="00BB3C2D" w:rsidP="00BB3C2D">
      <w:pPr>
        <w:ind w:left="426"/>
      </w:pPr>
      <w:r>
        <w:t>Het veel nadruk leggen op de individuele ontplooiing.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Collectivistisch</w:t>
      </w:r>
    </w:p>
    <w:p w:rsidR="00BB3C2D" w:rsidRPr="00BB3C2D" w:rsidRDefault="00BB3C2D" w:rsidP="00BB3C2D">
      <w:pPr>
        <w:ind w:left="426"/>
      </w:pPr>
      <w:r>
        <w:t xml:space="preserve">Het belang van het collectief dat voorop staat. 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Loyaliteit</w:t>
      </w:r>
    </w:p>
    <w:p w:rsidR="00BB3C2D" w:rsidRPr="00BB3C2D" w:rsidRDefault="00BB3C2D" w:rsidP="00BB3C2D">
      <w:pPr>
        <w:ind w:left="426"/>
      </w:pPr>
      <w:r>
        <w:t>Trouw.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Nature-nurturedebat</w:t>
      </w:r>
    </w:p>
    <w:p w:rsidR="00BB3C2D" w:rsidRPr="00BB3C2D" w:rsidRDefault="00BB3C2D" w:rsidP="00BB3C2D">
      <w:pPr>
        <w:pStyle w:val="Lijstalinea"/>
        <w:ind w:left="426"/>
      </w:pPr>
      <w:r>
        <w:t>De discussie of het menselijk gedrag bepaald wordt door aangeboren eigenschappen of door wat is aangeleerd.</w:t>
      </w:r>
    </w:p>
    <w:p w:rsidR="00A50DA2" w:rsidRDefault="00A50DA2" w:rsidP="00A50DA2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Aangeboren</w:t>
      </w:r>
    </w:p>
    <w:p w:rsidR="00BB3C2D" w:rsidRPr="00BB3C2D" w:rsidRDefault="00BB3C2D" w:rsidP="00BB3C2D">
      <w:pPr>
        <w:pStyle w:val="Lijstalinea"/>
        <w:ind w:left="426"/>
      </w:pPr>
      <w:r>
        <w:t>Het zit in je genen, je hebt het of je hebt het niet (nature)</w:t>
      </w:r>
    </w:p>
    <w:p w:rsidR="00A50DA2" w:rsidRDefault="00A50DA2" w:rsidP="00BB3C2D">
      <w:pPr>
        <w:pStyle w:val="Lijstalinea"/>
        <w:numPr>
          <w:ilvl w:val="0"/>
          <w:numId w:val="2"/>
        </w:numPr>
        <w:ind w:left="426"/>
        <w:rPr>
          <w:u w:val="single"/>
        </w:rPr>
      </w:pPr>
      <w:r w:rsidRPr="00A50DA2">
        <w:rPr>
          <w:u w:val="single"/>
        </w:rPr>
        <w:t>Aangeleerd</w:t>
      </w:r>
    </w:p>
    <w:p w:rsidR="00BB3C2D" w:rsidRPr="00BB3C2D" w:rsidRDefault="00BB3C2D" w:rsidP="00BB3C2D">
      <w:pPr>
        <w:pStyle w:val="Lijstalinea"/>
        <w:ind w:left="426"/>
      </w:pPr>
      <w:r>
        <w:t>Je hebt het overgenomen, geleerd van iemand (nurture)</w:t>
      </w:r>
    </w:p>
    <w:p w:rsidR="00A50DA2" w:rsidRDefault="00A50DA2" w:rsidP="00A50DA2">
      <w:pPr>
        <w:ind w:left="66"/>
      </w:pPr>
    </w:p>
    <w:p w:rsidR="00BB3C2D" w:rsidRDefault="00BB3C2D" w:rsidP="00BB3C2D">
      <w:pPr>
        <w:rPr>
          <w:rFonts w:cs="Arial"/>
          <w:b/>
        </w:rPr>
      </w:pPr>
      <w:r w:rsidRPr="00A50DA2">
        <w:rPr>
          <w:rFonts w:cs="Arial"/>
          <w:b/>
        </w:rPr>
        <w:t>§</w:t>
      </w:r>
      <w:r>
        <w:rPr>
          <w:rFonts w:cs="Arial"/>
          <w:b/>
        </w:rPr>
        <w:t>2: Culturele veranderingen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Verzuiling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Het maatschappelijk leven wordt bepaald door geloofs- en levensovertuigingen.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Sociale mobiliteit</w:t>
      </w:r>
    </w:p>
    <w:p w:rsidR="000A5946" w:rsidRPr="000A5946" w:rsidRDefault="000A5946" w:rsidP="000A5946">
      <w:pPr>
        <w:pStyle w:val="Lijstalinea"/>
        <w:ind w:left="426"/>
        <w:rPr>
          <w:rFonts w:cs="Arial"/>
          <w:u w:val="single"/>
        </w:rPr>
      </w:pPr>
      <w:r>
        <w:rPr>
          <w:rFonts w:cs="Arial"/>
        </w:rPr>
        <w:t>Het stijgen of dalen op de maatschappelijke ladder.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Handelingsonbekwaam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Niet de toestemming hebben om een overeenkomst te sluiten.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Hiërarchische verhoudingen</w:t>
      </w:r>
    </w:p>
    <w:p w:rsidR="000A5946" w:rsidRPr="000A5946" w:rsidRDefault="000A5946" w:rsidP="000A5946">
      <w:pPr>
        <w:pStyle w:val="Lijstalinea"/>
        <w:ind w:left="426"/>
        <w:rPr>
          <w:rFonts w:cs="Arial"/>
        </w:rPr>
      </w:pPr>
      <w:r>
        <w:rPr>
          <w:rFonts w:cs="Arial"/>
        </w:rPr>
        <w:t>De verhouding tussen de verschillende rangen in de samenleving</w:t>
      </w:r>
      <w:r w:rsidR="0026372D">
        <w:rPr>
          <w:rFonts w:cs="Arial"/>
        </w:rPr>
        <w:t>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Ontzuiling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Mensen laten zich bij het maken van keuzes niet langer leiden door hun geloof of politieke overtuiging.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Consumptiemaatschappij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Een samenleving waarin het bedrijfsleven zich sterk richt op het produceren van aantrekkelijke luxegoederen voor consumenten.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Sociale controle</w:t>
      </w:r>
    </w:p>
    <w:p w:rsidR="0026372D" w:rsidRPr="0026372D" w:rsidRDefault="002A50E3" w:rsidP="002A50E3">
      <w:pPr>
        <w:ind w:left="426"/>
      </w:pPr>
      <w:r>
        <w:rPr>
          <w:shd w:val="clear" w:color="auto" w:fill="FFFFFF"/>
        </w:rPr>
        <w:t>Door sociale controle wordt bewerkstelligd dat mensen zich aanpassen aan gedrag dat van hen in de groep verwacht wordt.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Individuele ontplooiing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Mensen trekken zich weinig aan van anderen en houden er steeds meer een eigen levensstijl op na.</w:t>
      </w:r>
    </w:p>
    <w:p w:rsidR="0026372D" w:rsidRDefault="00BB3C2D" w:rsidP="002637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Feminisme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Vrouwen streven naar gelijke rechten: ze willen hetzelfde worden behandeld als mannen.</w:t>
      </w:r>
    </w:p>
    <w:p w:rsidR="0026372D" w:rsidRPr="0026372D" w:rsidRDefault="0026372D" w:rsidP="0026372D">
      <w:pPr>
        <w:pStyle w:val="Lijstalinea"/>
        <w:ind w:left="426"/>
        <w:rPr>
          <w:rFonts w:cs="Arial"/>
          <w:vanish/>
        </w:rPr>
      </w:pPr>
      <w:r w:rsidRPr="0026372D">
        <w:rPr>
          <w:rFonts w:cs="Arial"/>
          <w:vanish/>
        </w:rPr>
        <w:t>Het eisen van gelijke rechten voor vrouwen in vergelijking met die van de mannen.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Secularisatie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Het enorm dalen van de invloed van het geloof in de maatschappij.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Peergroup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Een groep mensen in dezelfde leeftijdscategorie met overeenkomstige belangstelling en leefstijl.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Piratenzender</w:t>
      </w:r>
    </w:p>
    <w:p w:rsidR="0026372D" w:rsidRDefault="002A50E3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 xml:space="preserve">Een radiozender die begonnen is rond de jaren 60/70 en die vooral popmuziekprogramma’s uitzond, waarvan de kosten werden gedekt door het uitzenden van reclame. </w:t>
      </w:r>
    </w:p>
    <w:p w:rsidR="002A50E3" w:rsidRDefault="002A50E3" w:rsidP="002A50E3">
      <w:pPr>
        <w:pStyle w:val="Lijstalinea"/>
        <w:ind w:left="426"/>
        <w:rPr>
          <w:rFonts w:cs="Arial"/>
        </w:rPr>
      </w:pP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Publieke omroep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Omroepen waaraan we als kijker allemaal belasting meebetalen (de overheid steunt de publieke omroepen financieel).</w:t>
      </w:r>
    </w:p>
    <w:p w:rsidR="00BB3C2D" w:rsidRDefault="000A5946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Commerciële</w:t>
      </w:r>
      <w:r w:rsidR="00BB3C2D" w:rsidRPr="000A5946">
        <w:rPr>
          <w:rFonts w:cs="Arial"/>
          <w:u w:val="single"/>
        </w:rPr>
        <w:t xml:space="preserve"> omroep</w:t>
      </w:r>
    </w:p>
    <w:p w:rsidR="0026372D" w:rsidRPr="0026372D" w:rsidRDefault="0026372D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Deze omroepen moeten zichzelf financieren, onder andere door reclameopbrengsten.</w:t>
      </w:r>
    </w:p>
    <w:p w:rsidR="00BB3C2D" w:rsidRDefault="00BB3C2D" w:rsidP="00BB3C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Sociale media</w:t>
      </w:r>
    </w:p>
    <w:p w:rsidR="0026372D" w:rsidRPr="0026372D" w:rsidRDefault="002A50E3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Het algemeen begrip voor items als Facebook, Twitter, chatsites etc.</w:t>
      </w:r>
    </w:p>
    <w:p w:rsidR="00BB3C2D" w:rsidRDefault="00BB3C2D" w:rsidP="0026372D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A5946">
        <w:rPr>
          <w:rFonts w:cs="Arial"/>
          <w:u w:val="single"/>
        </w:rPr>
        <w:t>Culturele globalisering</w:t>
      </w:r>
    </w:p>
    <w:p w:rsidR="0026372D" w:rsidRDefault="002A50E3" w:rsidP="0026372D">
      <w:pPr>
        <w:pStyle w:val="Lijstalinea"/>
        <w:ind w:left="426"/>
        <w:rPr>
          <w:rFonts w:cs="Arial"/>
        </w:rPr>
      </w:pPr>
      <w:r>
        <w:rPr>
          <w:rFonts w:cs="Arial"/>
        </w:rPr>
        <w:t>De steeds snellere en steeds vakere uitwisseling van verschillende culturen, veroorzaakt door historische, culturele veranderingen.</w:t>
      </w:r>
    </w:p>
    <w:p w:rsidR="002A50E3" w:rsidRDefault="002A50E3" w:rsidP="002A50E3">
      <w:pPr>
        <w:rPr>
          <w:rFonts w:cs="Arial"/>
        </w:rPr>
      </w:pPr>
    </w:p>
    <w:p w:rsidR="002A50E3" w:rsidRDefault="002A50E3" w:rsidP="002A50E3">
      <w:pPr>
        <w:rPr>
          <w:rFonts w:cs="Arial"/>
          <w:b/>
        </w:rPr>
      </w:pPr>
      <w:r w:rsidRPr="00A50DA2">
        <w:rPr>
          <w:rFonts w:cs="Arial"/>
          <w:b/>
        </w:rPr>
        <w:t>§</w:t>
      </w:r>
      <w:r>
        <w:rPr>
          <w:rFonts w:cs="Arial"/>
          <w:b/>
        </w:rPr>
        <w:t xml:space="preserve">3: </w:t>
      </w:r>
      <w:r w:rsidR="00037346">
        <w:rPr>
          <w:rFonts w:cs="Arial"/>
          <w:b/>
        </w:rPr>
        <w:t>Nederland immigratieland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Pushfactoren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De redenen om je land te verlaten</w:t>
      </w:r>
      <w:r w:rsidR="00E2647B">
        <w:rPr>
          <w:rFonts w:cs="Arial"/>
        </w:rPr>
        <w:t>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Pullfactoren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De redenen om naar een land toe te komen.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Allochtoon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Iemand die zelf, of ten minste een van zijn ouders, in het buitenland geboren is.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Autochtoon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Iemand die in Nederland is geboren en van wie de (groot)ouders ook hier zijn geboren en opgegroeid.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Gastarbeider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Door Nederlandse bedrijven geworven werknemers, die uit andere landen komen.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Kennismigranten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Hoogopgeleide mensen uit landen als Duitsland en de VS, die kennis meebrengen waar in Nederland grote behoefte aan is.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Illegalen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Mensen die geen wettige toestemming hebben om hier te wonen en te werken.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Nederlandse Indiërs</w:t>
      </w:r>
    </w:p>
    <w:p w:rsidR="00037346" w:rsidRPr="00037346" w:rsidRDefault="00037346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>Inwoners van voormalig Nederlands-Indië</w:t>
      </w:r>
      <w:r w:rsidR="00E2647B">
        <w:rPr>
          <w:rFonts w:cs="Arial"/>
        </w:rPr>
        <w:t>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Molukkers</w:t>
      </w:r>
    </w:p>
    <w:p w:rsidR="00037346" w:rsidRPr="00037346" w:rsidRDefault="00E2647B" w:rsidP="00037346">
      <w:pPr>
        <w:pStyle w:val="Lijstalinea"/>
        <w:ind w:left="426"/>
        <w:rPr>
          <w:rFonts w:cs="Arial"/>
        </w:rPr>
      </w:pPr>
      <w:r>
        <w:rPr>
          <w:rFonts w:cs="Arial"/>
        </w:rPr>
        <w:t xml:space="preserve">Inwoners van voormalig Nederlands-Indië die in het koninklijk Nederlands-Indisch leger gevochten hadden tegen de Indonesische onafhankelijkheidsstrijd. 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Surinamers</w:t>
      </w:r>
    </w:p>
    <w:p w:rsidR="00E2647B" w:rsidRPr="00E2647B" w:rsidRDefault="00E2647B" w:rsidP="00E2647B">
      <w:pPr>
        <w:pStyle w:val="Lijstalinea"/>
        <w:ind w:left="426"/>
        <w:rPr>
          <w:rFonts w:cs="Arial"/>
        </w:rPr>
      </w:pPr>
      <w:r>
        <w:rPr>
          <w:rFonts w:cs="Arial"/>
        </w:rPr>
        <w:t>Inwoners van Suriname.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Antillianen</w:t>
      </w:r>
    </w:p>
    <w:p w:rsidR="00E2647B" w:rsidRPr="00E2647B" w:rsidRDefault="00E2647B" w:rsidP="00E2647B">
      <w:pPr>
        <w:pStyle w:val="Lijstalinea"/>
        <w:ind w:left="426"/>
        <w:rPr>
          <w:rFonts w:cs="Arial"/>
        </w:rPr>
      </w:pPr>
      <w:r>
        <w:rPr>
          <w:rFonts w:cs="Arial"/>
        </w:rPr>
        <w:t>Inwoners van de Nederlandse Antillen.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Vluchtelingen</w:t>
      </w:r>
    </w:p>
    <w:p w:rsidR="00E2647B" w:rsidRPr="00E2647B" w:rsidRDefault="00E2647B" w:rsidP="00E2647B">
      <w:pPr>
        <w:pStyle w:val="Lijstalinea"/>
        <w:ind w:left="426"/>
        <w:rPr>
          <w:rFonts w:cs="Arial"/>
        </w:rPr>
      </w:pPr>
      <w:r>
        <w:rPr>
          <w:rFonts w:cs="Arial"/>
        </w:rPr>
        <w:t>Iedereen die zijn woongebied is ontvlucht uit vrees voor geweld of zijn leven.</w:t>
      </w:r>
    </w:p>
    <w:p w:rsidR="00037346" w:rsidRDefault="00037346" w:rsidP="00037346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Gezinshereniging</w:t>
      </w:r>
    </w:p>
    <w:p w:rsidR="00E2647B" w:rsidRPr="00E2647B" w:rsidRDefault="00E2647B" w:rsidP="00E2647B">
      <w:pPr>
        <w:pStyle w:val="Lijstalinea"/>
        <w:ind w:left="426"/>
        <w:rPr>
          <w:rFonts w:cs="Arial"/>
        </w:rPr>
      </w:pPr>
      <w:r>
        <w:rPr>
          <w:rFonts w:cs="Arial"/>
        </w:rPr>
        <w:t>Het verschijnsel waarbij mensen die legaal in Nederland verblijven hun gezinsleden laten overkomen.</w:t>
      </w:r>
    </w:p>
    <w:p w:rsidR="002A50E3" w:rsidRDefault="00037346" w:rsidP="002A50E3">
      <w:pPr>
        <w:pStyle w:val="Lijstalinea"/>
        <w:numPr>
          <w:ilvl w:val="0"/>
          <w:numId w:val="2"/>
        </w:numPr>
        <w:ind w:left="426"/>
        <w:rPr>
          <w:rFonts w:cs="Arial"/>
          <w:u w:val="single"/>
        </w:rPr>
      </w:pPr>
      <w:r w:rsidRPr="00037346">
        <w:rPr>
          <w:rFonts w:cs="Arial"/>
          <w:u w:val="single"/>
        </w:rPr>
        <w:t>Gezinsvorming</w:t>
      </w:r>
    </w:p>
    <w:p w:rsidR="00E2647B" w:rsidRPr="00E2647B" w:rsidRDefault="00E2647B" w:rsidP="00E2647B">
      <w:pPr>
        <w:pStyle w:val="Lijstalinea"/>
        <w:ind w:left="426"/>
        <w:rPr>
          <w:rFonts w:cs="Arial"/>
        </w:rPr>
      </w:pPr>
      <w:r>
        <w:rPr>
          <w:rFonts w:cs="Arial"/>
        </w:rPr>
        <w:t>Het verschijnsel waarbij een Nederlander (of iemand met een verblijfsvergunning) met een buitenlander trouwt en hier een gezin sticht.</w:t>
      </w:r>
      <w:bookmarkStart w:id="0" w:name="_GoBack"/>
      <w:bookmarkEnd w:id="0"/>
    </w:p>
    <w:sectPr w:rsidR="00E2647B" w:rsidRPr="00E2647B" w:rsidSect="00A50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0BA9"/>
    <w:multiLevelType w:val="hybridMultilevel"/>
    <w:tmpl w:val="2118E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70E55"/>
    <w:multiLevelType w:val="hybridMultilevel"/>
    <w:tmpl w:val="532C3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DA2"/>
    <w:rsid w:val="00037346"/>
    <w:rsid w:val="000A5946"/>
    <w:rsid w:val="0026372D"/>
    <w:rsid w:val="002A50E3"/>
    <w:rsid w:val="007D7C69"/>
    <w:rsid w:val="009B1A93"/>
    <w:rsid w:val="00A50DA2"/>
    <w:rsid w:val="00BB0489"/>
    <w:rsid w:val="00BB3C2D"/>
    <w:rsid w:val="00C339C5"/>
    <w:rsid w:val="00CE408D"/>
    <w:rsid w:val="00E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1A93"/>
    <w:pPr>
      <w:spacing w:after="0"/>
    </w:pPr>
    <w:rPr>
      <w:rFonts w:ascii="Arial" w:hAnsi="Arial" w:cs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B1A93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1A93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A93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1A93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jstalinea">
    <w:name w:val="List Paragraph"/>
    <w:basedOn w:val="Standaard"/>
    <w:uiPriority w:val="34"/>
    <w:qFormat/>
    <w:rsid w:val="00A50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1A93"/>
    <w:pPr>
      <w:spacing w:after="0"/>
    </w:pPr>
    <w:rPr>
      <w:rFonts w:ascii="Arial" w:hAnsi="Arial" w:cs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B1A93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1A93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A93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1A93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jstalinea">
    <w:name w:val="List Paragraph"/>
    <w:basedOn w:val="Standaard"/>
    <w:uiPriority w:val="34"/>
    <w:qFormat/>
    <w:rsid w:val="00A50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van Dorst</dc:creator>
  <cp:lastModifiedBy>Nadja</cp:lastModifiedBy>
  <cp:revision>2</cp:revision>
  <dcterms:created xsi:type="dcterms:W3CDTF">2012-10-28T12:43:00Z</dcterms:created>
  <dcterms:modified xsi:type="dcterms:W3CDTF">2012-10-28T12:43:00Z</dcterms:modified>
</cp:coreProperties>
</file>