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B9" w:rsidRDefault="005105EA" w:rsidP="005105EA">
      <w:pPr>
        <w:pStyle w:val="NoSpacing"/>
      </w:pPr>
      <w:r w:rsidRPr="005105EA">
        <w:t>Hoofdstuk 14: Redoxreacties 2</w:t>
      </w:r>
    </w:p>
    <w:p w:rsidR="005105EA" w:rsidRDefault="005105EA" w:rsidP="005105EA">
      <w:pPr>
        <w:pStyle w:val="NoSpacing"/>
      </w:pPr>
    </w:p>
    <w:p w:rsidR="005105EA" w:rsidRDefault="005105EA" w:rsidP="005105EA">
      <w:pPr>
        <w:pStyle w:val="NoSpacing"/>
        <w:rPr>
          <w:sz w:val="24"/>
          <w:szCs w:val="24"/>
        </w:rPr>
      </w:pPr>
      <w:r>
        <w:rPr>
          <w:sz w:val="24"/>
          <w:szCs w:val="24"/>
        </w:rPr>
        <w:t>14.1 Inleiding</w:t>
      </w:r>
    </w:p>
    <w:p w:rsidR="005105EA" w:rsidRDefault="005105EA" w:rsidP="005105EA">
      <w:pPr>
        <w:pStyle w:val="NoSpacing"/>
      </w:pPr>
    </w:p>
    <w:p w:rsidR="005105EA" w:rsidRDefault="005105EA" w:rsidP="005105EA">
      <w:pPr>
        <w:pStyle w:val="NoSpacing"/>
      </w:pPr>
      <w:r>
        <w:t>X</w:t>
      </w:r>
    </w:p>
    <w:p w:rsidR="005105EA" w:rsidRDefault="005105EA" w:rsidP="005105EA">
      <w:pPr>
        <w:pStyle w:val="NoSpacing"/>
      </w:pPr>
    </w:p>
    <w:p w:rsidR="005105EA" w:rsidRDefault="005105EA" w:rsidP="005105EA">
      <w:pPr>
        <w:pStyle w:val="NoSpacing"/>
        <w:rPr>
          <w:sz w:val="24"/>
        </w:rPr>
      </w:pPr>
      <w:r>
        <w:rPr>
          <w:sz w:val="24"/>
        </w:rPr>
        <w:t>14.2 Elektrochemische cellen</w:t>
      </w:r>
    </w:p>
    <w:p w:rsidR="005105EA" w:rsidRDefault="005105EA" w:rsidP="005105EA">
      <w:pPr>
        <w:pStyle w:val="NoSpacing"/>
        <w:rPr>
          <w:sz w:val="24"/>
        </w:rPr>
      </w:pPr>
    </w:p>
    <w:p w:rsidR="005105EA" w:rsidRDefault="005105EA" w:rsidP="005105EA">
      <w:pPr>
        <w:pStyle w:val="NoSpacing"/>
      </w:pPr>
      <w:r>
        <w:rPr>
          <w:b/>
        </w:rPr>
        <w:t>Elektrochemische cel</w:t>
      </w:r>
      <w:r>
        <w:t xml:space="preserve"> is een natte batterij.</w:t>
      </w:r>
    </w:p>
    <w:p w:rsidR="005105EA" w:rsidRDefault="005105EA" w:rsidP="005105EA">
      <w:pPr>
        <w:pStyle w:val="NoSpacing"/>
        <w:numPr>
          <w:ilvl w:val="0"/>
          <w:numId w:val="1"/>
        </w:numPr>
      </w:pPr>
      <w:r>
        <w:t>Niet geschikt voor dagelijks gebruik</w:t>
      </w:r>
    </w:p>
    <w:p w:rsidR="005105EA" w:rsidRDefault="005105EA" w:rsidP="005105EA">
      <w:pPr>
        <w:pStyle w:val="NoSpacing"/>
        <w:numPr>
          <w:ilvl w:val="0"/>
          <w:numId w:val="1"/>
        </w:numPr>
      </w:pPr>
      <w:r>
        <w:t>+- 1800 uitgevonden</w:t>
      </w:r>
    </w:p>
    <w:p w:rsidR="005105EA" w:rsidRDefault="005105EA" w:rsidP="005105EA">
      <w:pPr>
        <w:pStyle w:val="NoSpacing"/>
      </w:pPr>
    </w:p>
    <w:p w:rsidR="005105EA" w:rsidRDefault="005105EA" w:rsidP="005105EA">
      <w:pPr>
        <w:pStyle w:val="NoSpacing"/>
      </w:pPr>
      <w:r>
        <w:t>Principe van de elektrochemische cel:</w:t>
      </w:r>
    </w:p>
    <w:p w:rsidR="005105EA" w:rsidRDefault="005105EA" w:rsidP="005105EA">
      <w:pPr>
        <w:pStyle w:val="NoSpacing"/>
        <w:numPr>
          <w:ilvl w:val="0"/>
          <w:numId w:val="1"/>
        </w:numPr>
      </w:pPr>
      <w:r>
        <w:t>2 halfcellen:</w:t>
      </w:r>
    </w:p>
    <w:p w:rsidR="005105EA" w:rsidRDefault="005105EA" w:rsidP="005105EA">
      <w:pPr>
        <w:pStyle w:val="NoSpacing"/>
        <w:numPr>
          <w:ilvl w:val="1"/>
          <w:numId w:val="1"/>
        </w:numPr>
      </w:pPr>
      <w:r>
        <w:t>Linker halfcel een reductor (metaalstaaf)</w:t>
      </w:r>
    </w:p>
    <w:p w:rsidR="005105EA" w:rsidRDefault="005105EA" w:rsidP="005105EA">
      <w:pPr>
        <w:pStyle w:val="NoSpacing"/>
        <w:numPr>
          <w:ilvl w:val="1"/>
          <w:numId w:val="1"/>
        </w:numPr>
      </w:pPr>
      <w:r>
        <w:t>Rechter halfcel een oxidator (metaalion)</w:t>
      </w:r>
    </w:p>
    <w:p w:rsidR="005105EA" w:rsidRDefault="005105EA" w:rsidP="005105EA">
      <w:pPr>
        <w:pStyle w:val="NoSpacing"/>
        <w:numPr>
          <w:ilvl w:val="0"/>
          <w:numId w:val="1"/>
        </w:numPr>
      </w:pPr>
      <w:r>
        <w:t>Poreuze scheidingswand voorkomt dat beide stoffen te snel mengen</w:t>
      </w:r>
    </w:p>
    <w:p w:rsidR="005105EA" w:rsidRDefault="005105EA" w:rsidP="005105EA">
      <w:pPr>
        <w:pStyle w:val="NoSpacing"/>
        <w:numPr>
          <w:ilvl w:val="0"/>
          <w:numId w:val="1"/>
        </w:numPr>
      </w:pPr>
      <w:r>
        <w:t>Elektronen kunnen alleen buitenom vanaf de reductor naar de oxidator stromen</w:t>
      </w:r>
    </w:p>
    <w:p w:rsidR="00C01428" w:rsidRDefault="00C01428" w:rsidP="00C01428">
      <w:pPr>
        <w:pStyle w:val="NoSpacing"/>
      </w:pPr>
    </w:p>
    <w:p w:rsidR="00C01428" w:rsidRDefault="00C01428" w:rsidP="00C01428">
      <w:pPr>
        <w:pStyle w:val="NoSpacing"/>
      </w:pPr>
      <w:r>
        <w:rPr>
          <w:b/>
        </w:rPr>
        <w:t>Daniellcel</w:t>
      </w:r>
    </w:p>
    <w:p w:rsidR="00C01428" w:rsidRDefault="00C01428" w:rsidP="00C01428">
      <w:pPr>
        <w:pStyle w:val="NoSpacing"/>
      </w:pPr>
    </w:p>
    <w:p w:rsidR="00C01428" w:rsidRDefault="00C01428" w:rsidP="00C01428">
      <w:pPr>
        <w:pStyle w:val="NoSpacing"/>
        <w:numPr>
          <w:ilvl w:val="0"/>
          <w:numId w:val="1"/>
        </w:numPr>
      </w:pPr>
      <w:r>
        <w:t>poreuze wand of zoutbrug om vermenging te vertragen/voorkomen</w:t>
      </w:r>
    </w:p>
    <w:p w:rsidR="00C01428" w:rsidRDefault="00C01428" w:rsidP="00C01428">
      <w:pPr>
        <w:pStyle w:val="NoSpacing"/>
        <w:numPr>
          <w:ilvl w:val="1"/>
          <w:numId w:val="1"/>
        </w:numPr>
      </w:pPr>
      <w:r>
        <w:t xml:space="preserve">Zoutbrug = </w:t>
      </w:r>
      <w:r>
        <w:rPr>
          <w:b/>
        </w:rPr>
        <w:t>verbindend elektrolyt</w:t>
      </w:r>
    </w:p>
    <w:p w:rsidR="00C01428" w:rsidRDefault="00C01428" w:rsidP="00C01428">
      <w:pPr>
        <w:pStyle w:val="NoSpacing"/>
        <w:numPr>
          <w:ilvl w:val="0"/>
          <w:numId w:val="1"/>
        </w:numPr>
      </w:pPr>
      <w:r>
        <w:t xml:space="preserve">In een </w:t>
      </w:r>
      <w:r>
        <w:rPr>
          <w:b/>
        </w:rPr>
        <w:t xml:space="preserve">celdiagram </w:t>
      </w:r>
      <w:r>
        <w:t>kun je de samenstelling weergeven:</w:t>
      </w:r>
    </w:p>
    <w:p w:rsidR="00C01428" w:rsidRDefault="00C01428" w:rsidP="00C01428">
      <w:pPr>
        <w:pStyle w:val="NoSpacing"/>
        <w:numPr>
          <w:ilvl w:val="1"/>
          <w:numId w:val="1"/>
        </w:numPr>
      </w:pPr>
      <w:r>
        <w:t xml:space="preserve">Zn </w:t>
      </w:r>
      <w:r w:rsidRPr="00C01428">
        <w:t>(s)</w:t>
      </w:r>
      <w:r>
        <w:t xml:space="preserve"> | Zn</w:t>
      </w:r>
      <w:r w:rsidRPr="00C01428">
        <w:rPr>
          <w:vertAlign w:val="superscript"/>
        </w:rPr>
        <w:t>2+</w:t>
      </w:r>
      <w:r>
        <w:t xml:space="preserve"> (aq) || Cu</w:t>
      </w:r>
      <w:r w:rsidRPr="00C01428">
        <w:rPr>
          <w:vertAlign w:val="superscript"/>
        </w:rPr>
        <w:t xml:space="preserve">2+ </w:t>
      </w:r>
      <w:r>
        <w:t>(aq) | Cu (s)</w:t>
      </w:r>
    </w:p>
    <w:p w:rsidR="00D73EA8" w:rsidRDefault="00D73EA8" w:rsidP="00D73EA8">
      <w:pPr>
        <w:pStyle w:val="NoSpacing"/>
        <w:numPr>
          <w:ilvl w:val="2"/>
          <w:numId w:val="1"/>
        </w:numPr>
      </w:pPr>
      <w:r>
        <w:t>(beginnen bij negatieve pool)</w:t>
      </w:r>
    </w:p>
    <w:p w:rsidR="00D73EA8" w:rsidRDefault="00D73EA8" w:rsidP="00D73EA8">
      <w:pPr>
        <w:pStyle w:val="NoSpacing"/>
        <w:numPr>
          <w:ilvl w:val="0"/>
          <w:numId w:val="1"/>
        </w:numPr>
      </w:pPr>
      <w:r>
        <w:t>Bronspanning</w:t>
      </w:r>
    </w:p>
    <w:p w:rsidR="00D73EA8" w:rsidRDefault="00D73EA8" w:rsidP="00D73EA8">
      <w:pPr>
        <w:pStyle w:val="NoSpacing"/>
        <w:numPr>
          <w:ilvl w:val="1"/>
          <w:numId w:val="1"/>
        </w:numPr>
        <w:rPr>
          <w:lang w:val="en-US"/>
        </w:rPr>
      </w:pPr>
      <w:r w:rsidRPr="00D73EA8">
        <w:rPr>
          <w:lang w:val="en-US"/>
        </w:rPr>
        <w:t>V</w:t>
      </w:r>
      <w:r w:rsidRPr="00D73EA8">
        <w:rPr>
          <w:vertAlign w:val="subscript"/>
          <w:lang w:val="en-US"/>
        </w:rPr>
        <w:t>bron</w:t>
      </w:r>
      <w:r w:rsidRPr="00D73EA8">
        <w:rPr>
          <w:lang w:val="en-US"/>
        </w:rPr>
        <w:t xml:space="preserve"> = V(OX) – V(RED)</w:t>
      </w:r>
    </w:p>
    <w:p w:rsidR="00D73EA8" w:rsidRDefault="00D73EA8" w:rsidP="00D73EA8">
      <w:pPr>
        <w:pStyle w:val="NoSpacing"/>
        <w:numPr>
          <w:ilvl w:val="0"/>
          <w:numId w:val="1"/>
        </w:numPr>
        <w:rPr>
          <w:lang w:val="en-US"/>
        </w:rPr>
      </w:pPr>
      <w:r>
        <w:rPr>
          <w:lang w:val="en-US"/>
        </w:rPr>
        <w:t>standaardelektrodepotentiaal</w:t>
      </w:r>
    </w:p>
    <w:p w:rsidR="00D73EA8" w:rsidRDefault="00D73EA8" w:rsidP="00D73EA8">
      <w:pPr>
        <w:pStyle w:val="NoSpacing"/>
        <w:numPr>
          <w:ilvl w:val="1"/>
          <w:numId w:val="1"/>
        </w:numPr>
      </w:pPr>
      <w:r w:rsidRPr="00D73EA8">
        <w:t>= gelijk aan bronspanning ox/red halfcel en een h</w:t>
      </w:r>
      <w:r w:rsidRPr="00D73EA8">
        <w:rPr>
          <w:vertAlign w:val="superscript"/>
        </w:rPr>
        <w:t>+</w:t>
      </w:r>
      <w:r w:rsidRPr="00D73EA8">
        <w:t>/H</w:t>
      </w:r>
      <w:r w:rsidRPr="00D73EA8">
        <w:rPr>
          <w:vertAlign w:val="subscript"/>
        </w:rPr>
        <w:t>2</w:t>
      </w:r>
      <w:r w:rsidRPr="00D73EA8">
        <w:t xml:space="preserve"> standaardhalfcel</w:t>
      </w:r>
    </w:p>
    <w:p w:rsidR="00D73EA8" w:rsidRDefault="00D73EA8" w:rsidP="00D73EA8">
      <w:pPr>
        <w:pStyle w:val="NoSpacing"/>
        <w:numPr>
          <w:ilvl w:val="0"/>
          <w:numId w:val="1"/>
        </w:numPr>
      </w:pPr>
      <w:r>
        <w:t>afwijkingen kunnen door het volgende veroorzaakt worden:</w:t>
      </w:r>
    </w:p>
    <w:p w:rsidR="00D73EA8" w:rsidRDefault="00D73EA8" w:rsidP="00D73EA8">
      <w:pPr>
        <w:pStyle w:val="NoSpacing"/>
        <w:numPr>
          <w:ilvl w:val="1"/>
          <w:numId w:val="1"/>
        </w:numPr>
      </w:pPr>
      <w:r>
        <w:t>tijdens je metingen kwamen de omstandigheden niet helemaal overeen met de standaardomstandigheden</w:t>
      </w:r>
    </w:p>
    <w:p w:rsidR="00D73EA8" w:rsidRPr="00D73EA8" w:rsidRDefault="00D73EA8" w:rsidP="00D73EA8">
      <w:pPr>
        <w:pStyle w:val="NoSpacing"/>
        <w:numPr>
          <w:ilvl w:val="1"/>
          <w:numId w:val="1"/>
        </w:numPr>
      </w:pPr>
      <w:r>
        <w:t xml:space="preserve">er is geen correctie aangebracht voor concentraties # 1,00 mol </w:t>
      </w:r>
      <m:oMath>
        <m:r>
          <w:rPr>
            <w:rFonts w:ascii="Cambria Math" w:hAnsi="Cambria Math"/>
          </w:rPr>
          <m:t>∙</m:t>
        </m:r>
      </m:oMath>
      <w:r>
        <w:rPr>
          <w:rFonts w:eastAsiaTheme="minorEastAsia"/>
        </w:rPr>
        <w:t xml:space="preserve"> L</w:t>
      </w:r>
      <w:r w:rsidRPr="00D73EA8">
        <w:rPr>
          <w:rFonts w:eastAsiaTheme="minorEastAsia"/>
          <w:vertAlign w:val="superscript"/>
        </w:rPr>
        <w:t>-1</w:t>
      </w:r>
    </w:p>
    <w:p w:rsidR="00D73EA8" w:rsidRPr="00D73EA8" w:rsidRDefault="00D73EA8" w:rsidP="00D73EA8">
      <w:pPr>
        <w:pStyle w:val="NoSpacing"/>
        <w:numPr>
          <w:ilvl w:val="1"/>
          <w:numId w:val="1"/>
        </w:numPr>
      </w:pPr>
      <w:r>
        <w:rPr>
          <w:rFonts w:eastAsiaTheme="minorEastAsia"/>
        </w:rPr>
        <w:t>het gebruikte elektrodemateriaal voldeed niet aan de extreem hoge eisen die bij dit soort metingen gesteld worden</w:t>
      </w:r>
    </w:p>
    <w:p w:rsidR="00D73EA8" w:rsidRDefault="00D73EA8" w:rsidP="00D73EA8">
      <w:pPr>
        <w:pStyle w:val="NoSpacing"/>
        <w:rPr>
          <w:rFonts w:eastAsiaTheme="minorEastAsia"/>
        </w:rPr>
      </w:pPr>
      <w:r>
        <w:rPr>
          <w:noProof/>
          <w:lang w:eastAsia="nl-NL"/>
        </w:rPr>
        <w:drawing>
          <wp:anchor distT="0" distB="0" distL="114300" distR="114300" simplePos="0" relativeHeight="251658240" behindDoc="1" locked="0" layoutInCell="1" allowOverlap="1" wp14:anchorId="0A704236" wp14:editId="0FA8C073">
            <wp:simplePos x="0" y="0"/>
            <wp:positionH relativeFrom="column">
              <wp:posOffset>1876425</wp:posOffset>
            </wp:positionH>
            <wp:positionV relativeFrom="paragraph">
              <wp:posOffset>43815</wp:posOffset>
            </wp:positionV>
            <wp:extent cx="1809750" cy="1962150"/>
            <wp:effectExtent l="0" t="0" r="0" b="0"/>
            <wp:wrapTight wrapText="bothSides">
              <wp:wrapPolygon edited="0">
                <wp:start x="9549" y="0"/>
                <wp:lineTo x="2501" y="1678"/>
                <wp:lineTo x="2046" y="1887"/>
                <wp:lineTo x="1137" y="6501"/>
                <wp:lineTo x="0" y="7340"/>
                <wp:lineTo x="0" y="21390"/>
                <wp:lineTo x="21373" y="21390"/>
                <wp:lineTo x="21373" y="7340"/>
                <wp:lineTo x="20236" y="4404"/>
                <wp:lineTo x="20236" y="2097"/>
                <wp:lineTo x="18644" y="1468"/>
                <wp:lineTo x="12278" y="0"/>
                <wp:lineTo x="9549" y="0"/>
              </wp:wrapPolygon>
            </wp:wrapTight>
            <wp:docPr id="1" name="Picture 1" descr="http://www.thuisexperimenteren.nl/science/elektrochemischecel/cel_dani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isexperimenteren.nl/science/elektrochemischecel/cel_danie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D73EA8" w:rsidRDefault="00D73EA8" w:rsidP="00D73EA8">
      <w:pPr>
        <w:pStyle w:val="NoSpacing"/>
        <w:rPr>
          <w:rFonts w:eastAsiaTheme="minorEastAsia"/>
        </w:rPr>
      </w:pPr>
    </w:p>
    <w:p w:rsidR="005C3680" w:rsidRDefault="005C3680" w:rsidP="00D73EA8">
      <w:pPr>
        <w:pStyle w:val="NoSpacing"/>
        <w:rPr>
          <w:rFonts w:eastAsiaTheme="minorEastAsia"/>
        </w:rPr>
      </w:pPr>
    </w:p>
    <w:p w:rsidR="005C3680" w:rsidRDefault="005C3680" w:rsidP="00D73EA8">
      <w:pPr>
        <w:pStyle w:val="NoSpacing"/>
        <w:rPr>
          <w:rFonts w:eastAsiaTheme="minorEastAsia"/>
        </w:rPr>
      </w:pPr>
    </w:p>
    <w:p w:rsidR="00D73EA8" w:rsidRDefault="00D73EA8" w:rsidP="00D73EA8">
      <w:pPr>
        <w:pStyle w:val="NoSpacing"/>
        <w:rPr>
          <w:rFonts w:eastAsiaTheme="minorEastAsia"/>
        </w:rPr>
      </w:pPr>
      <w:r>
        <w:rPr>
          <w:rFonts w:eastAsiaTheme="minorEastAsia"/>
        </w:rPr>
        <w:lastRenderedPageBreak/>
        <w:t>Brandstofcel is een elektrochemische cel waarbij de reductor en de oxidator in een continue stroom van buitenaf voortdurend toegevoerd worden</w:t>
      </w:r>
      <w:r w:rsidR="005C3680">
        <w:rPr>
          <w:rFonts w:eastAsiaTheme="minorEastAsia"/>
        </w:rPr>
        <w:t>.</w:t>
      </w:r>
    </w:p>
    <w:p w:rsidR="005C3680" w:rsidRDefault="005C3680" w:rsidP="00D73EA8">
      <w:pPr>
        <w:pStyle w:val="NoSpacing"/>
        <w:rPr>
          <w:rFonts w:eastAsiaTheme="minorEastAsia"/>
        </w:rPr>
      </w:pPr>
      <w:r>
        <w:rPr>
          <w:noProof/>
          <w:lang w:eastAsia="nl-NL"/>
        </w:rPr>
        <w:drawing>
          <wp:inline distT="0" distB="0" distL="0" distR="0">
            <wp:extent cx="2857500" cy="2266950"/>
            <wp:effectExtent l="0" t="0" r="0" b="0"/>
            <wp:docPr id="2" name="Picture 2" descr="http://upload.wikimedia.org/wikipedia/commons/thumb/0/07/Fuel_cell_NL.svg/300px-Fuel_cell_N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7/Fuel_cell_NL.svg/300px-Fuel_cell_N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66950"/>
                    </a:xfrm>
                    <a:prstGeom prst="rect">
                      <a:avLst/>
                    </a:prstGeom>
                    <a:noFill/>
                    <a:ln>
                      <a:noFill/>
                    </a:ln>
                  </pic:spPr>
                </pic:pic>
              </a:graphicData>
            </a:graphic>
          </wp:inline>
        </w:drawing>
      </w:r>
    </w:p>
    <w:p w:rsidR="005C3680" w:rsidRDefault="005C3680" w:rsidP="00D73EA8">
      <w:pPr>
        <w:pStyle w:val="NoSpacing"/>
        <w:rPr>
          <w:rFonts w:eastAsiaTheme="minorEastAsia"/>
        </w:rPr>
      </w:pPr>
    </w:p>
    <w:p w:rsidR="005C3680" w:rsidRDefault="005C3680" w:rsidP="00D73EA8">
      <w:pPr>
        <w:pStyle w:val="NoSpacing"/>
        <w:rPr>
          <w:rFonts w:eastAsiaTheme="minorEastAsia"/>
          <w:sz w:val="24"/>
        </w:rPr>
      </w:pPr>
      <w:r>
        <w:rPr>
          <w:rFonts w:eastAsiaTheme="minorEastAsia"/>
          <w:sz w:val="24"/>
        </w:rPr>
        <w:t>14.3 Kwantitatieve analyse met redoxreacties</w:t>
      </w:r>
    </w:p>
    <w:p w:rsidR="005C3680" w:rsidRDefault="005C3680" w:rsidP="00D73EA8">
      <w:pPr>
        <w:pStyle w:val="NoSpacing"/>
        <w:rPr>
          <w:rFonts w:eastAsiaTheme="minorEastAsia"/>
          <w:sz w:val="24"/>
        </w:rPr>
      </w:pPr>
    </w:p>
    <w:p w:rsidR="005C3680" w:rsidRDefault="005C3680" w:rsidP="00D73EA8">
      <w:pPr>
        <w:pStyle w:val="NoSpacing"/>
        <w:rPr>
          <w:rFonts w:eastAsiaTheme="minorEastAsia"/>
          <w:sz w:val="24"/>
        </w:rPr>
      </w:pPr>
      <w:r>
        <w:rPr>
          <w:rFonts w:eastAsiaTheme="minorEastAsia"/>
          <w:sz w:val="24"/>
        </w:rPr>
        <w:t>Titraties</w:t>
      </w:r>
    </w:p>
    <w:p w:rsidR="005C3680" w:rsidRPr="003752AB" w:rsidRDefault="005C3680" w:rsidP="005C3680">
      <w:pPr>
        <w:pStyle w:val="NoSpacing"/>
        <w:numPr>
          <w:ilvl w:val="0"/>
          <w:numId w:val="1"/>
        </w:numPr>
        <w:rPr>
          <w:rFonts w:eastAsiaTheme="minorEastAsia"/>
        </w:rPr>
      </w:pPr>
      <w:r w:rsidRPr="003752AB">
        <w:rPr>
          <w:rFonts w:eastAsiaTheme="minorEastAsia"/>
        </w:rPr>
        <w:t>directe titraties: stof A reageert direct met stof C</w:t>
      </w:r>
    </w:p>
    <w:p w:rsidR="005C3680" w:rsidRPr="003752AB" w:rsidRDefault="005C3680" w:rsidP="005C3680">
      <w:pPr>
        <w:pStyle w:val="NoSpacing"/>
        <w:numPr>
          <w:ilvl w:val="0"/>
          <w:numId w:val="1"/>
        </w:numPr>
        <w:rPr>
          <w:rFonts w:eastAsiaTheme="minorEastAsia"/>
        </w:rPr>
      </w:pPr>
      <w:r w:rsidRPr="003752AB">
        <w:rPr>
          <w:rFonts w:eastAsiaTheme="minorEastAsia"/>
        </w:rPr>
        <w:t xml:space="preserve">indirecte titratie: A wordt volledig omgezet in stof B met een overmaat hulpstof. Stof B wordt dan bepaald door een reactie met stof C. </w:t>
      </w:r>
    </w:p>
    <w:p w:rsidR="005C3680" w:rsidRPr="003752AB" w:rsidRDefault="005C3680" w:rsidP="005C3680">
      <w:pPr>
        <w:pStyle w:val="NoSpacing"/>
        <w:numPr>
          <w:ilvl w:val="0"/>
          <w:numId w:val="1"/>
        </w:numPr>
        <w:rPr>
          <w:rFonts w:eastAsiaTheme="minorEastAsia"/>
        </w:rPr>
      </w:pPr>
      <w:r w:rsidRPr="003752AB">
        <w:rPr>
          <w:rFonts w:eastAsiaTheme="minorEastAsia"/>
        </w:rPr>
        <w:t xml:space="preserve">Terugtitratie: een te bepalen stof A wordt bij een nauwkeurig bekende hoeveelheid stof B toegevoegd. Het deel van stof B wat </w:t>
      </w:r>
      <w:r w:rsidRPr="003752AB">
        <w:rPr>
          <w:rFonts w:eastAsiaTheme="minorEastAsia"/>
          <w:i/>
        </w:rPr>
        <w:t>overblijft</w:t>
      </w:r>
      <w:r w:rsidRPr="003752AB">
        <w:rPr>
          <w:rFonts w:eastAsiaTheme="minorEastAsia"/>
        </w:rPr>
        <w:t xml:space="preserve"> wordt daarna door titratie met stof C uit de buret bepaald.</w:t>
      </w:r>
    </w:p>
    <w:p w:rsidR="005C3680" w:rsidRPr="005C3680" w:rsidRDefault="005C3680" w:rsidP="005C3680">
      <w:pPr>
        <w:pStyle w:val="NoSpacing"/>
        <w:rPr>
          <w:rFonts w:eastAsiaTheme="minorEastAsia"/>
          <w:sz w:val="24"/>
        </w:rPr>
      </w:pPr>
    </w:p>
    <w:p w:rsidR="00D73EA8" w:rsidRDefault="003752AB" w:rsidP="00D73EA8">
      <w:pPr>
        <w:pStyle w:val="NoSpacing"/>
        <w:rPr>
          <w:sz w:val="24"/>
        </w:rPr>
      </w:pPr>
      <w:r>
        <w:rPr>
          <w:sz w:val="24"/>
        </w:rPr>
        <w:t>14.4 Corrosie</w:t>
      </w:r>
    </w:p>
    <w:p w:rsidR="00252F27" w:rsidRDefault="00252F27" w:rsidP="00D73EA8">
      <w:pPr>
        <w:pStyle w:val="NoSpacing"/>
        <w:rPr>
          <w:sz w:val="24"/>
        </w:rPr>
      </w:pPr>
    </w:p>
    <w:p w:rsidR="00252F27" w:rsidRDefault="00252F27" w:rsidP="00D73EA8">
      <w:pPr>
        <w:pStyle w:val="NoSpacing"/>
        <w:rPr>
          <w:sz w:val="24"/>
        </w:rPr>
      </w:pPr>
      <w:r>
        <w:rPr>
          <w:sz w:val="24"/>
        </w:rPr>
        <w:t>Roesten van ijzer:</w:t>
      </w:r>
    </w:p>
    <w:p w:rsidR="00252F27" w:rsidRDefault="00252F27" w:rsidP="00D73EA8">
      <w:pPr>
        <w:pStyle w:val="NoSpacing"/>
        <w:rPr>
          <w:sz w:val="24"/>
        </w:rPr>
      </w:pPr>
      <w:r>
        <w:rPr>
          <w:noProof/>
          <w:lang w:eastAsia="nl-NL"/>
        </w:rPr>
        <w:drawing>
          <wp:inline distT="0" distB="0" distL="0" distR="0">
            <wp:extent cx="2857500" cy="142875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252F27" w:rsidRPr="00BA5AEB" w:rsidRDefault="00252F27" w:rsidP="00BA5AEB">
      <w:pPr>
        <w:pStyle w:val="NoSpacing"/>
      </w:pPr>
      <w:r w:rsidRPr="00BA5AEB">
        <w:t>Stap 1</w:t>
      </w:r>
      <w:r w:rsidRPr="00BA5AEB">
        <w:br/>
        <w:t>Aan het ijzeroppervlak stelt zich een evenwicht in. De ijzer(II) ionen lossen op in het water. De elektronen kunnen worden doorgegeven door het oppervlak van de ijzeren plaat, op dezelfde wijze als dat ze door een draad in een elektrochemische cel zouden gaan.</w:t>
      </w:r>
    </w:p>
    <w:p w:rsidR="00252F27" w:rsidRDefault="00252F27" w:rsidP="00D73EA8">
      <w:pPr>
        <w:pStyle w:val="NoSpacing"/>
        <w:rPr>
          <w:sz w:val="24"/>
        </w:rPr>
      </w:pPr>
      <w:r>
        <w:rPr>
          <w:noProof/>
          <w:lang w:eastAsia="nl-NL"/>
        </w:rPr>
        <w:drawing>
          <wp:inline distT="0" distB="0" distL="0" distR="0" wp14:anchorId="088BC4D8" wp14:editId="750B548D">
            <wp:extent cx="2857500" cy="14287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BA5AEB" w:rsidRDefault="00BA5AEB" w:rsidP="00D73EA8">
      <w:pPr>
        <w:pStyle w:val="NoSpacing"/>
      </w:pPr>
    </w:p>
    <w:p w:rsidR="00BA5AEB" w:rsidRDefault="00BA5AEB" w:rsidP="00D73EA8">
      <w:pPr>
        <w:pStyle w:val="NoSpacing"/>
      </w:pPr>
      <w:r>
        <w:lastRenderedPageBreak/>
        <w:t>Stap 2</w:t>
      </w:r>
    </w:p>
    <w:p w:rsidR="00252F27" w:rsidRPr="00252F27" w:rsidRDefault="00252F27" w:rsidP="00D73EA8">
      <w:pPr>
        <w:pStyle w:val="NoSpacing"/>
        <w:rPr>
          <w:rFonts w:cstheme="minorHAnsi"/>
          <w:shd w:val="clear" w:color="auto" w:fill="EEEBDA"/>
        </w:rPr>
      </w:pPr>
      <w:r w:rsidRPr="00BA5AEB">
        <w:t>De waterdruppel bevat ook zuurstofmoleculen uit de lucht. Deze kunnen reageren met de elektronen die zijn vrijgekomen uit de halfreactie van ijzer (zie stap 1). Bij deze reactie ontstaan hydroxide-ionen</w:t>
      </w:r>
      <w:r w:rsidRPr="00252F27">
        <w:rPr>
          <w:rFonts w:cstheme="minorHAnsi"/>
          <w:shd w:val="clear" w:color="auto" w:fill="EEEBDA"/>
        </w:rPr>
        <w:t>.</w:t>
      </w:r>
    </w:p>
    <w:p w:rsidR="00252F27" w:rsidRDefault="00252F27" w:rsidP="00D73EA8">
      <w:pPr>
        <w:pStyle w:val="NoSpacing"/>
        <w:rPr>
          <w:sz w:val="24"/>
        </w:rPr>
      </w:pPr>
      <w:r>
        <w:rPr>
          <w:noProof/>
          <w:lang w:eastAsia="nl-NL"/>
        </w:rPr>
        <w:drawing>
          <wp:inline distT="0" distB="0" distL="0" distR="0" wp14:anchorId="142B7727" wp14:editId="6286CC90">
            <wp:extent cx="2857500" cy="142875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252F27" w:rsidRPr="00BA5AEB" w:rsidRDefault="00252F27" w:rsidP="00BA5AEB">
      <w:pPr>
        <w:pStyle w:val="NoSpacing"/>
      </w:pPr>
      <w:r w:rsidRPr="00BA5AEB">
        <w:t>Stap 3</w:t>
      </w:r>
      <w:r w:rsidRPr="00BA5AEB">
        <w:br/>
        <w:t>De waterdruppel bevat nu ijzer(II) ionen en hydroxide ionen. Deze vormen een neerslag van ijzer(II)hydroxide. Onder invloed van water en zuurstof kan het ijzer(II)hydroxide verder worden geoxideerd tot roest (= ijzer(III)oxide).</w:t>
      </w:r>
    </w:p>
    <w:p w:rsidR="00252F27" w:rsidRDefault="00252F27" w:rsidP="00D73EA8">
      <w:pPr>
        <w:pStyle w:val="NoSpacing"/>
        <w:rPr>
          <w:rFonts w:cstheme="minorHAnsi"/>
          <w:shd w:val="clear" w:color="auto" w:fill="EEEBDA"/>
        </w:rPr>
      </w:pPr>
    </w:p>
    <w:p w:rsidR="00BA5AEB" w:rsidRDefault="00BA5AEB" w:rsidP="00BA5AEB">
      <w:pPr>
        <w:pStyle w:val="NoSpacing"/>
      </w:pPr>
      <w:r>
        <w:t>Manieren om corrosie tegen te gaan:</w:t>
      </w:r>
    </w:p>
    <w:p w:rsidR="00BA5AEB" w:rsidRDefault="00BA5AEB" w:rsidP="00BA5AEB">
      <w:pPr>
        <w:pStyle w:val="NoSpacing"/>
        <w:numPr>
          <w:ilvl w:val="0"/>
          <w:numId w:val="1"/>
        </w:numPr>
      </w:pPr>
      <w:r>
        <w:t>Fosfateren en lakken</w:t>
      </w:r>
    </w:p>
    <w:p w:rsidR="00BA5AEB" w:rsidRDefault="00BA5AEB" w:rsidP="00BA5AEB">
      <w:pPr>
        <w:pStyle w:val="NoSpacing"/>
        <w:numPr>
          <w:ilvl w:val="0"/>
          <w:numId w:val="1"/>
        </w:numPr>
      </w:pPr>
      <w:r>
        <w:t>Verzinken en vertinnen</w:t>
      </w:r>
    </w:p>
    <w:p w:rsidR="00BA5AEB" w:rsidRDefault="00BA5AEB" w:rsidP="00BA5AEB">
      <w:pPr>
        <w:pStyle w:val="NoSpacing"/>
        <w:numPr>
          <w:ilvl w:val="0"/>
          <w:numId w:val="1"/>
        </w:numPr>
      </w:pPr>
      <w:r>
        <w:t>Verchromen en vernikkelen</w:t>
      </w:r>
    </w:p>
    <w:p w:rsidR="00BA5AEB" w:rsidRDefault="00BA5AEB" w:rsidP="00BA5AEB">
      <w:pPr>
        <w:pStyle w:val="NoSpacing"/>
        <w:numPr>
          <w:ilvl w:val="0"/>
          <w:numId w:val="1"/>
        </w:numPr>
      </w:pPr>
      <w:r>
        <w:t>Gebruik van opofferingsmetalen</w:t>
      </w:r>
    </w:p>
    <w:p w:rsidR="00BA5AEB" w:rsidRDefault="00BA5AEB" w:rsidP="00BA5AEB">
      <w:pPr>
        <w:pStyle w:val="NoSpacing"/>
        <w:numPr>
          <w:ilvl w:val="0"/>
          <w:numId w:val="1"/>
        </w:numPr>
      </w:pPr>
      <w:r>
        <w:t>Kathodische bescherming</w:t>
      </w:r>
    </w:p>
    <w:p w:rsidR="00BA5AEB" w:rsidRDefault="00BA5AEB" w:rsidP="00BA5AEB">
      <w:pPr>
        <w:pStyle w:val="NoSpacing"/>
        <w:numPr>
          <w:ilvl w:val="1"/>
          <w:numId w:val="1"/>
        </w:numPr>
      </w:pPr>
      <w:hyperlink r:id="rId12" w:history="1">
        <w:r>
          <w:rPr>
            <w:rStyle w:val="Hyperlink"/>
          </w:rPr>
          <w:t>http://www.youtube.com/watch?v=XBcEORZOREc</w:t>
        </w:r>
      </w:hyperlink>
    </w:p>
    <w:p w:rsidR="00BA5AEB" w:rsidRDefault="00BA5AEB" w:rsidP="00BA5AEB">
      <w:pPr>
        <w:pStyle w:val="NoSpacing"/>
      </w:pPr>
    </w:p>
    <w:p w:rsidR="00BA5AEB" w:rsidRDefault="00BA5AEB" w:rsidP="00BA5AEB">
      <w:pPr>
        <w:pStyle w:val="NoSpacing"/>
        <w:rPr>
          <w:sz w:val="24"/>
        </w:rPr>
      </w:pPr>
      <w:r>
        <w:rPr>
          <w:sz w:val="24"/>
        </w:rPr>
        <w:t>14.5 Elektrolyse</w:t>
      </w:r>
    </w:p>
    <w:p w:rsidR="00E619A6" w:rsidRDefault="00E619A6" w:rsidP="00BA5AEB">
      <w:pPr>
        <w:pStyle w:val="NoSpacing"/>
        <w:rPr>
          <w:sz w:val="24"/>
        </w:rPr>
      </w:pPr>
    </w:p>
    <w:p w:rsidR="00E619A6" w:rsidRPr="00BA5AEB" w:rsidRDefault="00061115" w:rsidP="00BA5AEB">
      <w:pPr>
        <w:pStyle w:val="NoSpacing"/>
        <w:rPr>
          <w:sz w:val="24"/>
        </w:rPr>
      </w:pPr>
      <w:r>
        <w:rPr>
          <w:sz w:val="24"/>
        </w:rPr>
        <w:t>Elektrolysereacties zijn reacties van stoffen die verlopen onder invloed van een externe spanningsbron</w:t>
      </w:r>
      <w:bookmarkStart w:id="0" w:name="_GoBack"/>
      <w:bookmarkEnd w:id="0"/>
    </w:p>
    <w:p w:rsidR="00252F27" w:rsidRPr="00252F27" w:rsidRDefault="00252F27" w:rsidP="00D73EA8">
      <w:pPr>
        <w:pStyle w:val="NoSpacing"/>
        <w:rPr>
          <w:rFonts w:cstheme="minorHAnsi"/>
        </w:rPr>
      </w:pPr>
    </w:p>
    <w:sectPr w:rsidR="00252F27" w:rsidRPr="00252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65B1"/>
    <w:multiLevelType w:val="hybridMultilevel"/>
    <w:tmpl w:val="E3A26858"/>
    <w:lvl w:ilvl="0" w:tplc="FEA460B2">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EA"/>
    <w:rsid w:val="000075C4"/>
    <w:rsid w:val="00061115"/>
    <w:rsid w:val="00252F27"/>
    <w:rsid w:val="003752AB"/>
    <w:rsid w:val="005105EA"/>
    <w:rsid w:val="005C3680"/>
    <w:rsid w:val="009D6228"/>
    <w:rsid w:val="00A325A4"/>
    <w:rsid w:val="00BA5AEB"/>
    <w:rsid w:val="00C01428"/>
    <w:rsid w:val="00D73EA8"/>
    <w:rsid w:val="00E61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5EA"/>
    <w:pPr>
      <w:spacing w:after="0" w:line="240" w:lineRule="auto"/>
    </w:pPr>
  </w:style>
  <w:style w:type="paragraph" w:styleId="BalloonText">
    <w:name w:val="Balloon Text"/>
    <w:basedOn w:val="Normal"/>
    <w:link w:val="BalloonTextChar"/>
    <w:uiPriority w:val="99"/>
    <w:semiHidden/>
    <w:unhideWhenUsed/>
    <w:rsid w:val="00C0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28"/>
    <w:rPr>
      <w:rFonts w:ascii="Tahoma" w:hAnsi="Tahoma" w:cs="Tahoma"/>
      <w:sz w:val="16"/>
      <w:szCs w:val="16"/>
    </w:rPr>
  </w:style>
  <w:style w:type="character" w:styleId="PlaceholderText">
    <w:name w:val="Placeholder Text"/>
    <w:basedOn w:val="DefaultParagraphFont"/>
    <w:uiPriority w:val="99"/>
    <w:semiHidden/>
    <w:rsid w:val="00D73EA8"/>
    <w:rPr>
      <w:color w:val="808080"/>
    </w:rPr>
  </w:style>
  <w:style w:type="character" w:styleId="Hyperlink">
    <w:name w:val="Hyperlink"/>
    <w:basedOn w:val="DefaultParagraphFont"/>
    <w:uiPriority w:val="99"/>
    <w:semiHidden/>
    <w:unhideWhenUsed/>
    <w:rsid w:val="00BA5A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5EA"/>
    <w:pPr>
      <w:spacing w:after="0" w:line="240" w:lineRule="auto"/>
    </w:pPr>
  </w:style>
  <w:style w:type="paragraph" w:styleId="BalloonText">
    <w:name w:val="Balloon Text"/>
    <w:basedOn w:val="Normal"/>
    <w:link w:val="BalloonTextChar"/>
    <w:uiPriority w:val="99"/>
    <w:semiHidden/>
    <w:unhideWhenUsed/>
    <w:rsid w:val="00C0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28"/>
    <w:rPr>
      <w:rFonts w:ascii="Tahoma" w:hAnsi="Tahoma" w:cs="Tahoma"/>
      <w:sz w:val="16"/>
      <w:szCs w:val="16"/>
    </w:rPr>
  </w:style>
  <w:style w:type="character" w:styleId="PlaceholderText">
    <w:name w:val="Placeholder Text"/>
    <w:basedOn w:val="DefaultParagraphFont"/>
    <w:uiPriority w:val="99"/>
    <w:semiHidden/>
    <w:rsid w:val="00D73EA8"/>
    <w:rPr>
      <w:color w:val="808080"/>
    </w:rPr>
  </w:style>
  <w:style w:type="character" w:styleId="Hyperlink">
    <w:name w:val="Hyperlink"/>
    <w:basedOn w:val="DefaultParagraphFont"/>
    <w:uiPriority w:val="99"/>
    <w:semiHidden/>
    <w:unhideWhenUsed/>
    <w:rsid w:val="00BA5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www.youtube.com/watch?v=XBcEORZOR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C707-E957-4F63-9A9F-32698BFB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448</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dc:creator>
  <cp:lastModifiedBy>Marlo</cp:lastModifiedBy>
  <cp:revision>3</cp:revision>
  <dcterms:created xsi:type="dcterms:W3CDTF">2012-10-25T12:36:00Z</dcterms:created>
  <dcterms:modified xsi:type="dcterms:W3CDTF">2012-10-25T13:51:00Z</dcterms:modified>
</cp:coreProperties>
</file>