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B3" w:rsidRDefault="00753618" w:rsidP="00753618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Tijdlijn Historische Context</w:t>
      </w:r>
    </w:p>
    <w:p w:rsidR="00753618" w:rsidRDefault="00753618" w:rsidP="00753618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 Verlichting</w:t>
      </w:r>
    </w:p>
    <w:p w:rsidR="00753618" w:rsidRDefault="00753618" w:rsidP="00753618">
      <w:pPr>
        <w:pStyle w:val="Geenafstand"/>
        <w:rPr>
          <w:rFonts w:ascii="Century Gothic" w:hAnsi="Century Gothic"/>
          <w:b/>
        </w:rPr>
      </w:pPr>
    </w:p>
    <w:tbl>
      <w:tblPr>
        <w:tblStyle w:val="Tabelraster"/>
        <w:tblW w:w="11519" w:type="dxa"/>
        <w:tblInd w:w="-1139" w:type="dxa"/>
        <w:tblLook w:val="04A0" w:firstRow="1" w:lastRow="0" w:firstColumn="1" w:lastColumn="0" w:noHBand="0" w:noVBand="1"/>
      </w:tblPr>
      <w:tblGrid>
        <w:gridCol w:w="1584"/>
        <w:gridCol w:w="9935"/>
      </w:tblGrid>
      <w:tr w:rsidR="00753618" w:rsidTr="007D0F16">
        <w:trPr>
          <w:trHeight w:val="288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Jaar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Wat </w:t>
            </w:r>
          </w:p>
        </w:tc>
      </w:tr>
      <w:tr w:rsidR="00753618" w:rsidTr="007D0F16">
        <w:trPr>
          <w:trHeight w:val="301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1550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Begin wetenschappelijke revolutie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1787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Eerste graanoogst Frankrijk mislukt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1788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Tweede graanoogst Frankrijk mislukt</w:t>
            </w:r>
          </w:p>
        </w:tc>
      </w:tr>
      <w:tr w:rsidR="00753618" w:rsidTr="007D0F16">
        <w:trPr>
          <w:trHeight w:val="1469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53618">
              <w:rPr>
                <w:rFonts w:ascii="Century Gothic" w:hAnsi="Century Gothic"/>
                <w:b/>
              </w:rPr>
              <w:t>1789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Staten-Generaal bijeen geroepen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</w:t>
            </w:r>
            <w:r w:rsidRPr="00753618">
              <w:rPr>
                <w:rFonts w:ascii="Century Gothic" w:hAnsi="Century Gothic"/>
                <w:b/>
              </w:rPr>
              <w:t xml:space="preserve">cahier de </w:t>
            </w:r>
            <w:proofErr w:type="spellStart"/>
            <w:r w:rsidRPr="00753618">
              <w:rPr>
                <w:rFonts w:ascii="Century Gothic" w:hAnsi="Century Gothic"/>
                <w:b/>
              </w:rPr>
              <w:t>doléances</w:t>
            </w:r>
            <w:proofErr w:type="spellEnd"/>
            <w:r w:rsidRPr="00753618">
              <w:rPr>
                <w:rFonts w:ascii="Century Gothic" w:hAnsi="Century Gothic"/>
                <w:b/>
              </w:rPr>
              <w:t xml:space="preserve"> 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Bestorming van de Bastille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begin Franse revolutie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Nuit de </w:t>
            </w:r>
            <w:proofErr w:type="spellStart"/>
            <w:r>
              <w:rPr>
                <w:rFonts w:ascii="Century Gothic" w:hAnsi="Century Gothic"/>
              </w:rPr>
              <w:t>Sacrifices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Verklaring van de rechten van de mens en burger</w:t>
            </w:r>
          </w:p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753618" w:rsidTr="007D0F16">
        <w:trPr>
          <w:trHeight w:val="1482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53618">
              <w:rPr>
                <w:rFonts w:ascii="Century Gothic" w:hAnsi="Century Gothic"/>
                <w:b/>
              </w:rPr>
              <w:t>1791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Grondwet in Frankrijk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53618">
              <w:rPr>
                <w:rFonts w:ascii="Century Gothic" w:hAnsi="Century Gothic"/>
                <w:b/>
              </w:rPr>
              <w:t xml:space="preserve">Wet </w:t>
            </w:r>
            <w:proofErr w:type="spellStart"/>
            <w:r w:rsidRPr="00753618">
              <w:rPr>
                <w:rFonts w:ascii="Century Gothic" w:hAnsi="Century Gothic"/>
                <w:b/>
              </w:rPr>
              <w:t>le</w:t>
            </w:r>
            <w:proofErr w:type="spellEnd"/>
            <w:r w:rsidRPr="00753618">
              <w:rPr>
                <w:rFonts w:ascii="Century Gothic" w:hAnsi="Century Gothic"/>
                <w:b/>
              </w:rPr>
              <w:t xml:space="preserve"> Chapelier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Lodewijk XVI slaat op de vlucht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Tweede fase Franse Revolutie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Jacobijnen</w:t>
            </w:r>
            <w:proofErr w:type="spellEnd"/>
            <w:r>
              <w:rPr>
                <w:rFonts w:ascii="Century Gothic" w:hAnsi="Century Gothic"/>
              </w:rPr>
              <w:t xml:space="preserve"> roepen de Republiek uit</w:t>
            </w:r>
          </w:p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1792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Proces van burger </w:t>
            </w:r>
            <w:proofErr w:type="spellStart"/>
            <w:r>
              <w:rPr>
                <w:rFonts w:ascii="Century Gothic" w:hAnsi="Century Gothic"/>
                <w:b/>
              </w:rPr>
              <w:t>Carpet</w:t>
            </w:r>
            <w:proofErr w:type="spellEnd"/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1794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Robespierre</w:t>
            </w:r>
            <w:proofErr w:type="spellEnd"/>
            <w:r>
              <w:rPr>
                <w:rFonts w:ascii="Century Gothic" w:hAnsi="Century Gothic"/>
              </w:rPr>
              <w:t xml:space="preserve"> onthoofd</w:t>
            </w:r>
          </w:p>
        </w:tc>
      </w:tr>
      <w:tr w:rsidR="00753618" w:rsidTr="007D0F16">
        <w:trPr>
          <w:trHeight w:val="301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1795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Girondijnen nemen de macht over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Derde fase Franse Revolutie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1799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Staatsgreep Napoleon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Vierde fase Franse Revolutie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1804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Code Napoléon</w:t>
            </w:r>
          </w:p>
        </w:tc>
      </w:tr>
      <w:tr w:rsidR="00753618" w:rsidTr="007D0F16">
        <w:trPr>
          <w:trHeight w:val="301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1813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Slag bij Leipzig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1814 – 1815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Congres van Wenen 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1815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Slag bij Waterloo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1816 – 1830 </w:t>
            </w:r>
          </w:p>
        </w:tc>
        <w:tc>
          <w:tcPr>
            <w:tcW w:w="9935" w:type="dxa"/>
          </w:tcPr>
          <w:p w:rsidR="00753618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Onafhankelijkheid van de Latijn-Amerikaanse staten</w:t>
            </w:r>
          </w:p>
        </w:tc>
      </w:tr>
      <w:tr w:rsidR="007D0F16" w:rsidTr="007D0F16">
        <w:trPr>
          <w:trHeight w:val="301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1818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Congres te Aken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1820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Congres van </w:t>
            </w:r>
            <w:proofErr w:type="spellStart"/>
            <w:r>
              <w:rPr>
                <w:rFonts w:ascii="Century Gothic" w:hAnsi="Century Gothic"/>
              </w:rPr>
              <w:t>Troppau</w:t>
            </w:r>
            <w:proofErr w:type="spellEnd"/>
          </w:p>
        </w:tc>
      </w:tr>
      <w:tr w:rsidR="007D0F16" w:rsidTr="007D0F16">
        <w:trPr>
          <w:trHeight w:val="590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1821 – 1822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Revoluties in Italië</w:t>
            </w:r>
          </w:p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Liberale revolutie in Spanje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1822</w:t>
            </w:r>
          </w:p>
        </w:tc>
        <w:tc>
          <w:tcPr>
            <w:tcW w:w="9935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Congres van Verona</w:t>
            </w:r>
          </w:p>
        </w:tc>
      </w:tr>
      <w:tr w:rsidR="007D0F16" w:rsidRPr="007D0F16" w:rsidTr="007D0F16">
        <w:trPr>
          <w:trHeight w:val="590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1823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  <w:lang w:val="de-DE"/>
              </w:rPr>
            </w:pPr>
            <w:r w:rsidRPr="007D0F16">
              <w:rPr>
                <w:rFonts w:ascii="Century Gothic" w:hAnsi="Century Gothic"/>
                <w:lang w:val="de-DE"/>
              </w:rPr>
              <w:t xml:space="preserve">Ferdinand VII </w:t>
            </w:r>
            <w:proofErr w:type="spellStart"/>
            <w:r w:rsidRPr="007D0F16">
              <w:rPr>
                <w:rFonts w:ascii="Century Gothic" w:hAnsi="Century Gothic"/>
                <w:lang w:val="de-DE"/>
              </w:rPr>
              <w:t>herstelt</w:t>
            </w:r>
            <w:proofErr w:type="spellEnd"/>
            <w:r w:rsidRPr="007D0F16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7D0F16">
              <w:rPr>
                <w:rFonts w:ascii="Century Gothic" w:hAnsi="Century Gothic"/>
                <w:lang w:val="de-DE"/>
              </w:rPr>
              <w:t>zijn</w:t>
            </w:r>
            <w:proofErr w:type="spellEnd"/>
            <w:r w:rsidRPr="007D0F16">
              <w:rPr>
                <w:rFonts w:ascii="Century Gothic" w:hAnsi="Century Gothic"/>
                <w:lang w:val="de-DE"/>
              </w:rPr>
              <w:t xml:space="preserve"> ab</w:t>
            </w:r>
            <w:r>
              <w:rPr>
                <w:rFonts w:ascii="Century Gothic" w:hAnsi="Century Gothic"/>
                <w:lang w:val="de-DE"/>
              </w:rPr>
              <w:t>solute macht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Einde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DE"/>
              </w:rPr>
              <w:t>Quadruple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DE"/>
              </w:rPr>
              <w:t>Alliantie</w:t>
            </w:r>
            <w:proofErr w:type="spellEnd"/>
          </w:p>
        </w:tc>
      </w:tr>
      <w:tr w:rsidR="007D0F16" w:rsidRPr="007D0F16" w:rsidTr="007D0F16">
        <w:trPr>
          <w:trHeight w:val="590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1825</w:t>
            </w:r>
          </w:p>
        </w:tc>
        <w:tc>
          <w:tcPr>
            <w:tcW w:w="9935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Alexander I van Rusland dood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>inde Heilige Alliantie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1829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Onafhankelijkheid van Griekenland en Servië</w:t>
            </w:r>
          </w:p>
        </w:tc>
      </w:tr>
      <w:tr w:rsidR="007D0F16" w:rsidTr="007D0F16">
        <w:trPr>
          <w:trHeight w:val="878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D0F16">
              <w:rPr>
                <w:rFonts w:ascii="Century Gothic" w:hAnsi="Century Gothic"/>
                <w:b/>
              </w:rPr>
              <w:t>1830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Revolutie in Frankrijk</w:t>
            </w:r>
          </w:p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Opstand in Polen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 Belgische Opstand</w:t>
            </w:r>
          </w:p>
        </w:tc>
      </w:tr>
      <w:tr w:rsidR="007D0F16" w:rsidRPr="007D0F16" w:rsidTr="007D0F16">
        <w:trPr>
          <w:trHeight w:val="1482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D0F16">
              <w:rPr>
                <w:rFonts w:ascii="Century Gothic" w:hAnsi="Century Gothic"/>
                <w:b/>
              </w:rPr>
              <w:t>1848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Frankrijk </w:t>
            </w:r>
            <w:proofErr w:type="spellStart"/>
            <w:r>
              <w:rPr>
                <w:rFonts w:ascii="Century Gothic" w:hAnsi="Century Gothic"/>
              </w:rPr>
              <w:t>Ferburarievolutie</w:t>
            </w:r>
            <w:proofErr w:type="spellEnd"/>
          </w:p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Duitsland Maartrevolutie</w:t>
            </w:r>
          </w:p>
          <w:p w:rsidR="007D0F16" w:rsidRDefault="007D0F16" w:rsidP="00753618">
            <w:pPr>
              <w:pStyle w:val="Geenafstand"/>
              <w:rPr>
                <w:rFonts w:ascii="Century Gothic" w:hAnsi="Century Gothic"/>
                <w:b/>
                <w:lang w:val="de-DE"/>
              </w:rPr>
            </w:pPr>
            <w:r w:rsidRPr="007D0F16">
              <w:rPr>
                <w:rFonts w:ascii="Century Gothic" w:hAnsi="Century Gothic"/>
                <w:b/>
                <w:lang w:val="de-DE"/>
              </w:rPr>
              <w:t xml:space="preserve">Frankfurter </w:t>
            </w:r>
            <w:proofErr w:type="spellStart"/>
            <w:r w:rsidRPr="007D0F16">
              <w:rPr>
                <w:rFonts w:ascii="Century Gothic" w:hAnsi="Century Gothic"/>
                <w:b/>
                <w:lang w:val="de-DE"/>
              </w:rPr>
              <w:t>Parlement</w:t>
            </w:r>
            <w:proofErr w:type="spellEnd"/>
            <w:r w:rsidRPr="007D0F16">
              <w:rPr>
                <w:rFonts w:ascii="Century Gothic" w:hAnsi="Century Gothic"/>
                <w:b/>
                <w:lang w:val="de-DE"/>
              </w:rPr>
              <w:t xml:space="preserve"> </w:t>
            </w:r>
            <w:proofErr w:type="spellStart"/>
            <w:r w:rsidRPr="007D0F16">
              <w:rPr>
                <w:rFonts w:ascii="Century Gothic" w:hAnsi="Century Gothic"/>
                <w:b/>
                <w:lang w:val="de-DE"/>
              </w:rPr>
              <w:t>bijeengeroepen</w:t>
            </w:r>
            <w:proofErr w:type="spellEnd"/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Duitse B</w:t>
            </w:r>
            <w:r>
              <w:rPr>
                <w:rFonts w:ascii="Century Gothic" w:hAnsi="Century Gothic"/>
              </w:rPr>
              <w:t>ond opgeheven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Revolutie in Italië</w:t>
            </w:r>
          </w:p>
        </w:tc>
      </w:tr>
      <w:tr w:rsidR="007D0F16" w:rsidRPr="007D0F16" w:rsidTr="007D0F16">
        <w:trPr>
          <w:trHeight w:val="577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1949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Frankfurter Parlement neemt nieuwe grondwet aan maar Pruisen weigert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Einde Frankfurter Parlement</w:t>
            </w:r>
          </w:p>
        </w:tc>
      </w:tr>
    </w:tbl>
    <w:p w:rsidR="00753618" w:rsidRPr="007D0F16" w:rsidRDefault="00753618" w:rsidP="00753618">
      <w:pPr>
        <w:pStyle w:val="Geenafstand"/>
        <w:rPr>
          <w:rFonts w:ascii="Century Gothic" w:hAnsi="Century Gothic"/>
          <w:b/>
        </w:rPr>
      </w:pPr>
    </w:p>
    <w:sectPr w:rsidR="00753618" w:rsidRPr="007D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8"/>
    <w:rsid w:val="00753618"/>
    <w:rsid w:val="007D0F16"/>
    <w:rsid w:val="008643BB"/>
    <w:rsid w:val="008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3540"/>
  <w15:chartTrackingRefBased/>
  <w15:docId w15:val="{C8544EA2-96D8-43D7-ACFF-3FF6209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361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 Bressers</dc:creator>
  <cp:keywords/>
  <dc:description/>
  <cp:lastModifiedBy>Lenne Bressers</cp:lastModifiedBy>
  <cp:revision>1</cp:revision>
  <dcterms:created xsi:type="dcterms:W3CDTF">2018-10-05T18:21:00Z</dcterms:created>
  <dcterms:modified xsi:type="dcterms:W3CDTF">2018-10-05T18:41:00Z</dcterms:modified>
</cp:coreProperties>
</file>