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8B3" w:rsidRPr="00397305" w:rsidRDefault="00D24E24" w:rsidP="007658E6">
      <w:pPr>
        <w:pStyle w:val="Geenafstand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7305">
        <w:rPr>
          <w:rFonts w:ascii="Arial" w:hAnsi="Arial" w:cs="Arial"/>
          <w:b/>
          <w:sz w:val="32"/>
          <w:szCs w:val="24"/>
          <w:u w:val="single"/>
        </w:rPr>
        <w:t>De 49 kenmerkende aspecten</w:t>
      </w:r>
    </w:p>
    <w:p w:rsidR="00D24E24" w:rsidRPr="00397305" w:rsidRDefault="00D24E24" w:rsidP="00D24E24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D24E24" w:rsidRPr="00397305" w:rsidRDefault="00D24E24" w:rsidP="00D24E24">
      <w:pPr>
        <w:pStyle w:val="Geenafstand"/>
        <w:rPr>
          <w:rFonts w:ascii="Arial" w:hAnsi="Arial" w:cs="Arial"/>
          <w:b/>
          <w:sz w:val="24"/>
          <w:szCs w:val="24"/>
        </w:rPr>
      </w:pPr>
      <w:r w:rsidRPr="00397305">
        <w:rPr>
          <w:rFonts w:ascii="Arial" w:hAnsi="Arial" w:cs="Arial"/>
          <w:b/>
          <w:sz w:val="24"/>
          <w:szCs w:val="24"/>
        </w:rPr>
        <w:t>Hoofdstuk 1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levenswijze van jager-verzamelaars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Het ontstaan van landbouw en landbouwsamenlevingen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Het ontstaan van de eerste stedelijke gemeenschappen</w:t>
      </w:r>
    </w:p>
    <w:p w:rsidR="00D24E24" w:rsidRPr="00397305" w:rsidRDefault="00D24E24" w:rsidP="00D24E24">
      <w:pPr>
        <w:pStyle w:val="Geenafstand"/>
        <w:rPr>
          <w:rFonts w:ascii="Arial" w:hAnsi="Arial" w:cs="Arial"/>
          <w:sz w:val="24"/>
          <w:szCs w:val="24"/>
        </w:rPr>
      </w:pPr>
    </w:p>
    <w:p w:rsidR="00D24E24" w:rsidRPr="00397305" w:rsidRDefault="00D24E24" w:rsidP="00D24E24">
      <w:pPr>
        <w:pStyle w:val="Geenafstand"/>
        <w:rPr>
          <w:rFonts w:ascii="Arial" w:hAnsi="Arial" w:cs="Arial"/>
          <w:b/>
          <w:sz w:val="24"/>
          <w:szCs w:val="24"/>
        </w:rPr>
      </w:pPr>
      <w:r w:rsidRPr="00397305">
        <w:rPr>
          <w:rFonts w:ascii="Arial" w:hAnsi="Arial" w:cs="Arial"/>
          <w:b/>
          <w:sz w:val="24"/>
          <w:szCs w:val="24"/>
        </w:rPr>
        <w:t>Hoof</w:t>
      </w:r>
      <w:r w:rsidR="007658E6" w:rsidRPr="00397305">
        <w:rPr>
          <w:rFonts w:ascii="Arial" w:hAnsi="Arial" w:cs="Arial"/>
          <w:b/>
          <w:sz w:val="24"/>
          <w:szCs w:val="24"/>
        </w:rPr>
        <w:t>d</w:t>
      </w:r>
      <w:r w:rsidRPr="00397305">
        <w:rPr>
          <w:rFonts w:ascii="Arial" w:hAnsi="Arial" w:cs="Arial"/>
          <w:b/>
          <w:sz w:val="24"/>
          <w:szCs w:val="24"/>
        </w:rPr>
        <w:t>stuk 2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ontwikkeling van wetenschappelijk denken en het denken over burgerschap en politiek in de Griekse stadstaat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groei van het Romeinse imperium waardoor de Grieks-Romeinse cultuur zich in Europa verspreidde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klassieke vormentaal van de Griek-Romeinse cultuur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confrontatie tussen de Grieks-Romeinse cultuur en de Germaanse-cultuur van Noordwest-Europa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ontwikkeling van het jodendom en het christendom als eerste monotheïstische godsdiensten</w:t>
      </w:r>
    </w:p>
    <w:p w:rsidR="00D24E24" w:rsidRPr="00397305" w:rsidRDefault="00D24E24" w:rsidP="00D24E24">
      <w:pPr>
        <w:pStyle w:val="Geenafstand"/>
        <w:rPr>
          <w:rFonts w:ascii="Arial" w:hAnsi="Arial" w:cs="Arial"/>
          <w:sz w:val="24"/>
          <w:szCs w:val="24"/>
        </w:rPr>
      </w:pPr>
    </w:p>
    <w:p w:rsidR="00D24E24" w:rsidRPr="00397305" w:rsidRDefault="00D24E24" w:rsidP="00D24E24">
      <w:pPr>
        <w:pStyle w:val="Geenafstand"/>
        <w:rPr>
          <w:rFonts w:ascii="Arial" w:hAnsi="Arial" w:cs="Arial"/>
          <w:b/>
          <w:sz w:val="24"/>
          <w:szCs w:val="24"/>
        </w:rPr>
      </w:pPr>
      <w:r w:rsidRPr="00397305">
        <w:rPr>
          <w:rFonts w:ascii="Arial" w:hAnsi="Arial" w:cs="Arial"/>
          <w:b/>
          <w:sz w:val="24"/>
          <w:szCs w:val="24"/>
        </w:rPr>
        <w:t>Hoofdstuk 3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Het ontstaan en de verspreiding van de islam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vrijwel volledige vervanging in West-Europa van de agrarisch-urbane cultuur door een zelfvoorzienende agrarische cultuur, georganiseerd via het hofstelsel en horigheid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Het ontstaan van feodale verhoudingen in het bestuur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verspreiding van het christendom in geheel Europa</w:t>
      </w:r>
    </w:p>
    <w:p w:rsidR="00D24E24" w:rsidRPr="00397305" w:rsidRDefault="00D24E24" w:rsidP="00D24E24">
      <w:pPr>
        <w:pStyle w:val="Geenafstand"/>
        <w:rPr>
          <w:rFonts w:ascii="Arial" w:hAnsi="Arial" w:cs="Arial"/>
          <w:sz w:val="24"/>
          <w:szCs w:val="24"/>
        </w:rPr>
      </w:pPr>
    </w:p>
    <w:p w:rsidR="00D24E24" w:rsidRPr="00397305" w:rsidRDefault="00D24E24" w:rsidP="00D24E24">
      <w:pPr>
        <w:pStyle w:val="Geenafstand"/>
        <w:rPr>
          <w:rFonts w:ascii="Arial" w:hAnsi="Arial" w:cs="Arial"/>
          <w:b/>
          <w:sz w:val="24"/>
          <w:szCs w:val="24"/>
        </w:rPr>
      </w:pPr>
      <w:r w:rsidRPr="00397305">
        <w:rPr>
          <w:rFonts w:ascii="Arial" w:hAnsi="Arial" w:cs="Arial"/>
          <w:b/>
          <w:sz w:val="24"/>
          <w:szCs w:val="24"/>
        </w:rPr>
        <w:t>Hoofdstuk 4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opkomst van handel en ambacht legde de basis voor het herleven van een agrarisch-urbane samenleving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opkomst van de stedelijke burgerij en de toenemende zelfstandigheid van steden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Het begin van staatsvorming en centralisatie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Het conflict in de christelijke wereld over de vraag of de wereldlijke dan wel de geestelijke macht het primaat behoorde te hebben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expansie van de christelijke wereld, onder andere in de vorm van kruistochten</w:t>
      </w:r>
    </w:p>
    <w:p w:rsidR="00D24E24" w:rsidRPr="00397305" w:rsidRDefault="00D24E24" w:rsidP="00D24E24">
      <w:pPr>
        <w:pStyle w:val="Geenafstand"/>
        <w:rPr>
          <w:rFonts w:ascii="Arial" w:hAnsi="Arial" w:cs="Arial"/>
          <w:sz w:val="24"/>
          <w:szCs w:val="24"/>
        </w:rPr>
      </w:pPr>
    </w:p>
    <w:p w:rsidR="00D24E24" w:rsidRPr="00397305" w:rsidRDefault="00D24E24" w:rsidP="00D24E24">
      <w:pPr>
        <w:pStyle w:val="Geenafstand"/>
        <w:rPr>
          <w:rFonts w:ascii="Arial" w:hAnsi="Arial" w:cs="Arial"/>
          <w:b/>
          <w:sz w:val="24"/>
          <w:szCs w:val="24"/>
        </w:rPr>
      </w:pPr>
      <w:r w:rsidRPr="00397305">
        <w:rPr>
          <w:rFonts w:ascii="Arial" w:hAnsi="Arial" w:cs="Arial"/>
          <w:b/>
          <w:sz w:val="24"/>
          <w:szCs w:val="24"/>
        </w:rPr>
        <w:t>Hoof</w:t>
      </w:r>
      <w:r w:rsidR="007658E6" w:rsidRPr="00397305">
        <w:rPr>
          <w:rFonts w:ascii="Arial" w:hAnsi="Arial" w:cs="Arial"/>
          <w:b/>
          <w:sz w:val="24"/>
          <w:szCs w:val="24"/>
        </w:rPr>
        <w:t>ds</w:t>
      </w:r>
      <w:r w:rsidRPr="00397305">
        <w:rPr>
          <w:rFonts w:ascii="Arial" w:hAnsi="Arial" w:cs="Arial"/>
          <w:b/>
          <w:sz w:val="24"/>
          <w:szCs w:val="24"/>
        </w:rPr>
        <w:t>tuk 5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Het veranderende mens-</w:t>
      </w:r>
      <w:r w:rsidR="00397305">
        <w:rPr>
          <w:rFonts w:ascii="Arial" w:hAnsi="Arial" w:cs="Arial"/>
          <w:sz w:val="24"/>
          <w:szCs w:val="24"/>
        </w:rPr>
        <w:t xml:space="preserve"> </w:t>
      </w:r>
      <w:r w:rsidRPr="00397305">
        <w:rPr>
          <w:rFonts w:ascii="Arial" w:hAnsi="Arial" w:cs="Arial"/>
          <w:sz w:val="24"/>
          <w:szCs w:val="24"/>
        </w:rPr>
        <w:t>en wereldbeeld van de renaissance en het begin van een nieuwe wetenschappelijke belangstelling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hernieuwde oriëntatie op het erfgoed van de klassieke oudheid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Het begin van de Europese expansie overzee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protestantse reformatie had splitsing van de christelijke kerk in West-Europa tot gevolg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Het conflict in de Nederlanden dat resulteerde in de stichting van een Nederlandse staat</w:t>
      </w:r>
    </w:p>
    <w:p w:rsidR="007658E6" w:rsidRDefault="007658E6" w:rsidP="00D24E24">
      <w:pPr>
        <w:pStyle w:val="Geenafstand"/>
        <w:rPr>
          <w:rFonts w:ascii="Arial" w:hAnsi="Arial" w:cs="Arial"/>
          <w:sz w:val="24"/>
          <w:szCs w:val="24"/>
        </w:rPr>
      </w:pPr>
    </w:p>
    <w:p w:rsidR="00397305" w:rsidRDefault="00397305" w:rsidP="00D24E24">
      <w:pPr>
        <w:pStyle w:val="Geenafstand"/>
        <w:rPr>
          <w:rFonts w:ascii="Arial" w:hAnsi="Arial" w:cs="Arial"/>
          <w:sz w:val="24"/>
          <w:szCs w:val="24"/>
        </w:rPr>
      </w:pPr>
    </w:p>
    <w:p w:rsidR="00397305" w:rsidRDefault="00397305" w:rsidP="00D24E24">
      <w:pPr>
        <w:pStyle w:val="Geenafstand"/>
        <w:rPr>
          <w:rFonts w:ascii="Arial" w:hAnsi="Arial" w:cs="Arial"/>
          <w:sz w:val="24"/>
          <w:szCs w:val="24"/>
        </w:rPr>
      </w:pPr>
    </w:p>
    <w:p w:rsidR="00397305" w:rsidRPr="00397305" w:rsidRDefault="00397305" w:rsidP="00D24E24">
      <w:pPr>
        <w:pStyle w:val="Geenafstand"/>
        <w:rPr>
          <w:rFonts w:ascii="Arial" w:hAnsi="Arial" w:cs="Arial"/>
          <w:sz w:val="24"/>
          <w:szCs w:val="24"/>
        </w:rPr>
      </w:pPr>
    </w:p>
    <w:p w:rsidR="00D24E24" w:rsidRPr="00397305" w:rsidRDefault="00D24E24" w:rsidP="00D24E24">
      <w:pPr>
        <w:pStyle w:val="Geenafstand"/>
        <w:rPr>
          <w:rFonts w:ascii="Arial" w:hAnsi="Arial" w:cs="Arial"/>
          <w:b/>
          <w:sz w:val="24"/>
          <w:szCs w:val="24"/>
        </w:rPr>
      </w:pPr>
      <w:r w:rsidRPr="00397305">
        <w:rPr>
          <w:rFonts w:ascii="Arial" w:hAnsi="Arial" w:cs="Arial"/>
          <w:b/>
          <w:sz w:val="24"/>
          <w:szCs w:val="24"/>
        </w:rPr>
        <w:lastRenderedPageBreak/>
        <w:t>Hoofdstuk 6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Wereldwijde handelscontacten, handelskapitalisme en het begin van een wereldeconomie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bijzondere plaats in staatkundig opzicht en de bloei in economisch en cultureel opzicht van de Nederlandse republiek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Het streven van vorsten naar absolute macht</w:t>
      </w:r>
    </w:p>
    <w:p w:rsidR="007658E6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wetenschappelijke revolutie</w:t>
      </w:r>
    </w:p>
    <w:p w:rsidR="007658E6" w:rsidRPr="00397305" w:rsidRDefault="007658E6" w:rsidP="00D24E24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D24E24" w:rsidRPr="00397305" w:rsidRDefault="00D24E24" w:rsidP="00D24E24">
      <w:pPr>
        <w:pStyle w:val="Geenafstand"/>
        <w:rPr>
          <w:rFonts w:ascii="Arial" w:hAnsi="Arial" w:cs="Arial"/>
          <w:b/>
          <w:sz w:val="24"/>
          <w:szCs w:val="24"/>
        </w:rPr>
      </w:pPr>
      <w:r w:rsidRPr="00397305">
        <w:rPr>
          <w:rFonts w:ascii="Arial" w:hAnsi="Arial" w:cs="Arial"/>
          <w:b/>
          <w:sz w:val="24"/>
          <w:szCs w:val="24"/>
        </w:rPr>
        <w:t>Hoofdstuk 7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Rationeel optimisme en verlicht denken werd toegepast op alle terreinen van de samenleving: godsdienst, politiek, economie en sociale verhoudingen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Voortbestaan van het ancien régime met pogingen om het vorstelijk bestuur op eigentijdse verlichte wijze vorm te geven (verlicht absolutisme)</w:t>
      </w:r>
    </w:p>
    <w:p w:rsidR="00D24E24" w:rsidRPr="00397305" w:rsidRDefault="00D24E24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 xml:space="preserve">De democratische revoluties in westerse landen met als gevolg discussies over grondwetten, grondrechten en </w:t>
      </w:r>
      <w:r w:rsidR="007658E6" w:rsidRPr="00397305">
        <w:rPr>
          <w:rFonts w:ascii="Arial" w:hAnsi="Arial" w:cs="Arial"/>
          <w:sz w:val="24"/>
          <w:szCs w:val="24"/>
        </w:rPr>
        <w:t>staatsburgerschap</w:t>
      </w:r>
    </w:p>
    <w:p w:rsidR="007658E6" w:rsidRPr="00397305" w:rsidRDefault="007658E6" w:rsidP="00D24E24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Uitbouw van de Europese overheersing, met name in de vorm van plantagekoloniën en de daarmee verbonden transatlantische slavenhandel, en de opkomst van het abolitionisme</w:t>
      </w:r>
    </w:p>
    <w:p w:rsidR="007658E6" w:rsidRPr="00397305" w:rsidRDefault="007658E6" w:rsidP="007658E6">
      <w:pPr>
        <w:pStyle w:val="Geenafstand"/>
        <w:ind w:left="360"/>
        <w:rPr>
          <w:rFonts w:ascii="Arial" w:hAnsi="Arial" w:cs="Arial"/>
          <w:sz w:val="24"/>
          <w:szCs w:val="24"/>
        </w:rPr>
      </w:pPr>
    </w:p>
    <w:p w:rsidR="007658E6" w:rsidRPr="00397305" w:rsidRDefault="007658E6" w:rsidP="007658E6">
      <w:pPr>
        <w:pStyle w:val="Geenafstand"/>
        <w:ind w:left="360"/>
        <w:rPr>
          <w:rFonts w:ascii="Arial" w:hAnsi="Arial" w:cs="Arial"/>
          <w:b/>
          <w:sz w:val="24"/>
          <w:szCs w:val="24"/>
        </w:rPr>
      </w:pPr>
      <w:r w:rsidRPr="00397305">
        <w:rPr>
          <w:rFonts w:ascii="Arial" w:hAnsi="Arial" w:cs="Arial"/>
          <w:b/>
          <w:sz w:val="24"/>
          <w:szCs w:val="24"/>
        </w:rPr>
        <w:t>Hoofdstuk 8</w:t>
      </w:r>
    </w:p>
    <w:p w:rsidR="007658E6" w:rsidRPr="00397305" w:rsidRDefault="007658E6" w:rsidP="007658E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industriële revolutie legde in de westerse wereld de basis voor een industriële samenleving</w:t>
      </w:r>
    </w:p>
    <w:p w:rsidR="007658E6" w:rsidRPr="00397305" w:rsidRDefault="007658E6" w:rsidP="007658E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opkomst van politiek maatschappelijke stromingen: liberalisme, nationalisme en socialisme</w:t>
      </w:r>
    </w:p>
    <w:p w:rsidR="007658E6" w:rsidRPr="00397305" w:rsidRDefault="007658E6" w:rsidP="007658E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Voortschrijdende democratisering, met deelname van steeds meer mannen en vrouwen aan het politieke proces</w:t>
      </w:r>
    </w:p>
    <w:p w:rsidR="007658E6" w:rsidRPr="00397305" w:rsidRDefault="007658E6" w:rsidP="007658E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opkomst van emancipatiebewegingen</w:t>
      </w:r>
    </w:p>
    <w:p w:rsidR="007658E6" w:rsidRPr="00397305" w:rsidRDefault="007658E6" w:rsidP="007658E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Discussies over de sociale kwestie</w:t>
      </w:r>
    </w:p>
    <w:p w:rsidR="007658E6" w:rsidRPr="00397305" w:rsidRDefault="007658E6" w:rsidP="007658E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moderne vorm van imperialisme die verband hield met de industrialisatie</w:t>
      </w:r>
    </w:p>
    <w:p w:rsidR="007658E6" w:rsidRPr="00397305" w:rsidRDefault="007658E6" w:rsidP="007658E6">
      <w:pPr>
        <w:pStyle w:val="Geenafstand"/>
        <w:rPr>
          <w:rFonts w:ascii="Arial" w:hAnsi="Arial" w:cs="Arial"/>
          <w:sz w:val="24"/>
          <w:szCs w:val="24"/>
        </w:rPr>
      </w:pPr>
    </w:p>
    <w:p w:rsidR="007658E6" w:rsidRPr="00397305" w:rsidRDefault="007658E6" w:rsidP="007658E6">
      <w:pPr>
        <w:pStyle w:val="Geenafstand"/>
        <w:rPr>
          <w:rFonts w:ascii="Arial" w:hAnsi="Arial" w:cs="Arial"/>
          <w:b/>
          <w:sz w:val="24"/>
          <w:szCs w:val="24"/>
        </w:rPr>
      </w:pPr>
      <w:r w:rsidRPr="00397305">
        <w:rPr>
          <w:rFonts w:ascii="Arial" w:hAnsi="Arial" w:cs="Arial"/>
          <w:b/>
          <w:sz w:val="24"/>
          <w:szCs w:val="24"/>
        </w:rPr>
        <w:t>Hoofdstuk 9</w:t>
      </w:r>
    </w:p>
    <w:p w:rsidR="007658E6" w:rsidRPr="00397305" w:rsidRDefault="007658E6" w:rsidP="007658E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Het voeren van twee wereldoorlogen</w:t>
      </w:r>
    </w:p>
    <w:p w:rsidR="007658E6" w:rsidRPr="00397305" w:rsidRDefault="007658E6" w:rsidP="007658E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crisis van het wereldkapitalisme</w:t>
      </w:r>
    </w:p>
    <w:p w:rsidR="007658E6" w:rsidRPr="00397305" w:rsidRDefault="007658E6" w:rsidP="007658E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Het in praktijk brengen van de totalitaire ideologieën communisme, fascisme en nationaalsocialisme</w:t>
      </w:r>
    </w:p>
    <w:p w:rsidR="007658E6" w:rsidRPr="00397305" w:rsidRDefault="007658E6" w:rsidP="007658E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rol van moderne propaganda- en communicatiemiddelen en vormen van massaorganisatie</w:t>
      </w:r>
    </w:p>
    <w:p w:rsidR="007658E6" w:rsidRPr="00397305" w:rsidRDefault="007658E6" w:rsidP="007658E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Vormen van verzet tegen het West-Europese imperialisme</w:t>
      </w:r>
    </w:p>
    <w:p w:rsidR="007658E6" w:rsidRPr="00397305" w:rsidRDefault="007658E6" w:rsidP="007658E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Verwoestingen op niet eerder vertoonde schaal door massavernietigingswapens en de betrokkenheid van de burgerbevolking bij oorlogvoering</w:t>
      </w:r>
    </w:p>
    <w:p w:rsidR="007658E6" w:rsidRPr="00397305" w:rsidRDefault="007658E6" w:rsidP="007658E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Racisme en discriminatie die leidden tot genocide, in het bijzonder op joden</w:t>
      </w:r>
    </w:p>
    <w:p w:rsidR="007658E6" w:rsidRPr="00397305" w:rsidRDefault="007658E6" w:rsidP="007658E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Duitse bezetting van Nederland</w:t>
      </w:r>
    </w:p>
    <w:p w:rsidR="007658E6" w:rsidRDefault="007658E6" w:rsidP="007658E6">
      <w:pPr>
        <w:pStyle w:val="Geenafstand"/>
        <w:rPr>
          <w:rFonts w:ascii="Arial" w:hAnsi="Arial" w:cs="Arial"/>
          <w:sz w:val="24"/>
          <w:szCs w:val="24"/>
        </w:rPr>
      </w:pPr>
    </w:p>
    <w:p w:rsidR="00397305" w:rsidRDefault="00397305" w:rsidP="007658E6">
      <w:pPr>
        <w:pStyle w:val="Geenafstand"/>
        <w:rPr>
          <w:rFonts w:ascii="Arial" w:hAnsi="Arial" w:cs="Arial"/>
          <w:sz w:val="24"/>
          <w:szCs w:val="24"/>
        </w:rPr>
      </w:pPr>
    </w:p>
    <w:p w:rsidR="00397305" w:rsidRDefault="00397305" w:rsidP="007658E6">
      <w:pPr>
        <w:pStyle w:val="Geenafstand"/>
        <w:rPr>
          <w:rFonts w:ascii="Arial" w:hAnsi="Arial" w:cs="Arial"/>
          <w:sz w:val="24"/>
          <w:szCs w:val="24"/>
        </w:rPr>
      </w:pPr>
    </w:p>
    <w:p w:rsidR="00397305" w:rsidRDefault="00397305" w:rsidP="007658E6">
      <w:pPr>
        <w:pStyle w:val="Geenafstand"/>
        <w:rPr>
          <w:rFonts w:ascii="Arial" w:hAnsi="Arial" w:cs="Arial"/>
          <w:sz w:val="24"/>
          <w:szCs w:val="24"/>
        </w:rPr>
      </w:pPr>
    </w:p>
    <w:p w:rsidR="00397305" w:rsidRDefault="00397305" w:rsidP="007658E6">
      <w:pPr>
        <w:pStyle w:val="Geenafstand"/>
        <w:rPr>
          <w:rFonts w:ascii="Arial" w:hAnsi="Arial" w:cs="Arial"/>
          <w:sz w:val="24"/>
          <w:szCs w:val="24"/>
        </w:rPr>
      </w:pPr>
    </w:p>
    <w:p w:rsidR="00397305" w:rsidRDefault="00397305" w:rsidP="007658E6">
      <w:pPr>
        <w:pStyle w:val="Geenafstand"/>
        <w:rPr>
          <w:rFonts w:ascii="Arial" w:hAnsi="Arial" w:cs="Arial"/>
          <w:sz w:val="24"/>
          <w:szCs w:val="24"/>
        </w:rPr>
      </w:pPr>
    </w:p>
    <w:p w:rsidR="00397305" w:rsidRPr="00397305" w:rsidRDefault="00397305" w:rsidP="007658E6">
      <w:pPr>
        <w:pStyle w:val="Geenafstand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58E6" w:rsidRPr="00397305" w:rsidRDefault="007658E6" w:rsidP="007658E6">
      <w:pPr>
        <w:pStyle w:val="Geenafstand"/>
        <w:rPr>
          <w:rFonts w:ascii="Arial" w:hAnsi="Arial" w:cs="Arial"/>
          <w:b/>
          <w:sz w:val="24"/>
          <w:szCs w:val="24"/>
        </w:rPr>
      </w:pPr>
      <w:r w:rsidRPr="00397305">
        <w:rPr>
          <w:rFonts w:ascii="Arial" w:hAnsi="Arial" w:cs="Arial"/>
          <w:b/>
          <w:sz w:val="24"/>
          <w:szCs w:val="24"/>
        </w:rPr>
        <w:lastRenderedPageBreak/>
        <w:t>Hoofdstuk 10</w:t>
      </w:r>
    </w:p>
    <w:p w:rsidR="007658E6" w:rsidRPr="00397305" w:rsidRDefault="007658E6" w:rsidP="007658E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dekolonisatie maakte een eind aan de westerse hegemonie in de wereld</w:t>
      </w:r>
    </w:p>
    <w:p w:rsidR="007658E6" w:rsidRPr="00397305" w:rsidRDefault="007658E6" w:rsidP="007658E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verdeling van de wereld in twee ideologische blokken in de greep van een wapenwedloop en de daaruit voortvloeiende dreiging van een atoomoorlog</w:t>
      </w:r>
    </w:p>
    <w:p w:rsidR="007658E6" w:rsidRPr="00397305" w:rsidRDefault="007658E6" w:rsidP="007658E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toenemende westerse welvaart die vanaf de jaren zestig van de 20</w:t>
      </w:r>
      <w:r w:rsidRPr="00397305">
        <w:rPr>
          <w:rFonts w:ascii="Arial" w:hAnsi="Arial" w:cs="Arial"/>
          <w:sz w:val="24"/>
          <w:szCs w:val="24"/>
          <w:vertAlign w:val="superscript"/>
        </w:rPr>
        <w:t>e</w:t>
      </w:r>
      <w:r w:rsidRPr="00397305">
        <w:rPr>
          <w:rFonts w:ascii="Arial" w:hAnsi="Arial" w:cs="Arial"/>
          <w:sz w:val="24"/>
          <w:szCs w:val="24"/>
        </w:rPr>
        <w:t xml:space="preserve"> eeuw aanleiding gaf tot ingrijpende sociaal-culturele veranderingsprocessen</w:t>
      </w:r>
    </w:p>
    <w:p w:rsidR="007658E6" w:rsidRPr="00397305" w:rsidRDefault="007658E6" w:rsidP="007658E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eenwording van Europa</w:t>
      </w:r>
    </w:p>
    <w:p w:rsidR="007658E6" w:rsidRPr="00397305" w:rsidRDefault="007658E6" w:rsidP="007658E6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305">
        <w:rPr>
          <w:rFonts w:ascii="Arial" w:hAnsi="Arial" w:cs="Arial"/>
          <w:sz w:val="24"/>
          <w:szCs w:val="24"/>
        </w:rPr>
        <w:t>De ontwikkeling van pluriforme en multiculturele samenlevingen</w:t>
      </w:r>
    </w:p>
    <w:sectPr w:rsidR="007658E6" w:rsidRPr="0039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347E6"/>
    <w:multiLevelType w:val="hybridMultilevel"/>
    <w:tmpl w:val="FAD8D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24"/>
    <w:rsid w:val="00397305"/>
    <w:rsid w:val="007658E6"/>
    <w:rsid w:val="008643BB"/>
    <w:rsid w:val="008701CB"/>
    <w:rsid w:val="00D2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707F"/>
  <w15:chartTrackingRefBased/>
  <w15:docId w15:val="{4B286FD3-5236-459A-9689-120CFF3C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4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 Bressers</dc:creator>
  <cp:keywords/>
  <dc:description/>
  <cp:lastModifiedBy>Kim Smits</cp:lastModifiedBy>
  <cp:revision>2</cp:revision>
  <dcterms:created xsi:type="dcterms:W3CDTF">2018-03-10T15:41:00Z</dcterms:created>
  <dcterms:modified xsi:type="dcterms:W3CDTF">2018-03-10T15:41:00Z</dcterms:modified>
</cp:coreProperties>
</file>