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94BAC" w14:textId="349CD389" w:rsidR="002A3304" w:rsidRDefault="00867E40" w:rsidP="00867E40">
      <w:pPr>
        <w:pStyle w:val="Titel"/>
      </w:pPr>
      <w:r>
        <w:t>Godsdienst</w:t>
      </w:r>
    </w:p>
    <w:p w14:paraId="642E9041" w14:textId="70D779DF" w:rsidR="00867E40" w:rsidRDefault="00867E40" w:rsidP="00867E40">
      <w:pPr>
        <w:pStyle w:val="Ondertitel"/>
      </w:pPr>
      <w:r>
        <w:t>Thema spiegelen</w:t>
      </w:r>
    </w:p>
    <w:p w14:paraId="16F5B894" w14:textId="6E4D3032" w:rsidR="00F72BF8" w:rsidRDefault="00F4340F" w:rsidP="00F72BF8">
      <w:r w:rsidRPr="00F4340F">
        <w:t>Als we naar onszelf kijken, richten we ons eerst op anderen, op identificatiefiguren. We kijken naar mensen die iets bevorderen of realiseren waartoe wij niet in staat zijn of kunnen zijn. We kijken naar hen en zeggen: "Ik wil zijn zoals jij." In onze gemediatiseerde cultuur wordt identiteit niet alleen opgebouwd in de context van de directe omgeving, maar ook in interactie met de media. We reflecteren vaak op een of meer voorbeeldfiguren, zoals idolen, rolmodellen, inspirerende figuren en historische figuren.</w:t>
      </w:r>
    </w:p>
    <w:p w14:paraId="36C646A4" w14:textId="15CC71C0" w:rsidR="00072C93" w:rsidRDefault="00072C93" w:rsidP="00F72BF8">
      <w:r w:rsidRPr="00072C93">
        <w:t>Mensen worden vaak beïnvloed door verschillende kwaliteiten wanneer ze met anderen omgaan. Dit kan leiden tot een positieve ontwikkeling van iemands identiteit, die gebaseerd is op compassie en waardering voor jezelf. Wanneer we nadenken over anderen of tijd met hen doorbrengen, kan dit leiden tot een gevoel van eigenwaarde en onze spirituele en persoonlijke groei beïnvloeden. Het is belangrijk om na te denken over de vraag of iemands perspectief werkelijk compassievol is. Dit kan ons helpen begrijpen dat we niet alleen naar anderen moeten kijken, maar ook zelf compassie moeten hebben.</w:t>
      </w:r>
    </w:p>
    <w:p w14:paraId="0D7B19E9" w14:textId="7A558BDD" w:rsidR="00072C93" w:rsidRPr="00072C93" w:rsidRDefault="00D60121" w:rsidP="00F72BF8">
      <w:r w:rsidRPr="00D60121">
        <w:t>We denken vaak na over voorbeelden om te begrijpen waarom mensen geliefd willen zijn bij een groep. Sommige motivaties zijn zeer primair, en we brengen onze tijd door met socialiseren, zoals op school, opleiding en familie. We geven onze overtuigingen of ongeloof door aan de normen en waarden van verschillende groepen. Als we dat niet doen, geven we er minder om en zijn we klaar. Socialiseren vanuit een groep is een van onze diepste angsten, omdat niet elke groep ideaal is voor een evenwichtige identiteit.</w:t>
      </w:r>
    </w:p>
    <w:p w14:paraId="5037D3AE" w14:textId="5881ED7C" w:rsidR="00867E40" w:rsidRDefault="00867E40" w:rsidP="00867E40">
      <w:pPr>
        <w:pStyle w:val="Kop1"/>
      </w:pPr>
      <w:r>
        <w:t>1 waaraan spiegelen jongeren zich?</w:t>
      </w:r>
    </w:p>
    <w:p w14:paraId="5D965960" w14:textId="7E6DDB20" w:rsidR="00867E40" w:rsidRDefault="00867E40" w:rsidP="00867E40">
      <w:pPr>
        <w:pStyle w:val="Kop2"/>
      </w:pPr>
      <w:r>
        <w:t>Wat betekend ‘zich spiegelen aan anderen?’</w:t>
      </w:r>
    </w:p>
    <w:p w14:paraId="48047AEC" w14:textId="61ABAE06" w:rsidR="00867E40" w:rsidRDefault="00867E40" w:rsidP="00867E40">
      <w:pPr>
        <w:rPr>
          <w:shd w:val="clear" w:color="auto" w:fill="F3F6F7"/>
        </w:rPr>
      </w:pPr>
      <w:r>
        <w:rPr>
          <w:shd w:val="clear" w:color="auto" w:fill="F3F6F7"/>
        </w:rPr>
        <w:t>Iemand als voorbeeld nemen; iemand navolgen; zich identificeren met iemand; zich door iemand laten inspireren; in iemands voetsporen treden. We spiegelen ons op verschillende manieren aan de mensen om ons heen: verbaal (met woorden), emotioneel en met ons gedrag. Soms doen we dat onbewust. Als we ons lange tijd spiegelen aan bepaalde personen, kan dat een invloed hebben op onze spirituele (geestelijke) en persoonlijke groei.</w:t>
      </w:r>
    </w:p>
    <w:p w14:paraId="3830C549" w14:textId="415E243E" w:rsidR="009E3895" w:rsidRDefault="00A77651" w:rsidP="00A77651">
      <w:pPr>
        <w:pStyle w:val="Kop2"/>
        <w:rPr>
          <w:shd w:val="clear" w:color="auto" w:fill="F3F6F7"/>
        </w:rPr>
      </w:pPr>
      <w:r>
        <w:rPr>
          <w:shd w:val="clear" w:color="auto" w:fill="F3F6F7"/>
        </w:rPr>
        <w:t>K</w:t>
      </w:r>
      <w:r w:rsidR="009E3895">
        <w:rPr>
          <w:shd w:val="clear" w:color="auto" w:fill="F3F6F7"/>
        </w:rPr>
        <w:t>waliteiten</w:t>
      </w:r>
    </w:p>
    <w:p w14:paraId="7F2E79B0" w14:textId="231F55FB" w:rsidR="00A77651" w:rsidRPr="00A77651" w:rsidRDefault="00A77651" w:rsidP="00A77651">
      <w:r w:rsidRPr="00A77651">
        <w:t>Kwaliteit is een gewaardeerde identiteit van een individu, geboren met kwaliteiten. Elke persoon krijgt deze kwaliteiten cadeau en blijft ze gedurende zijn leven ontwikkelen. Ouders, verzorgers, leerlingen en de omgeving kunnen in dit proces helpen. Door de woorden van anderen te onderzoeken, kunnen we inzicht krijgen.</w:t>
      </w:r>
    </w:p>
    <w:p w14:paraId="176922A5" w14:textId="2E6D8D8E" w:rsidR="00867E40" w:rsidRDefault="00867E40" w:rsidP="005A65AD">
      <w:pPr>
        <w:pStyle w:val="Kop1"/>
      </w:pPr>
      <w:r>
        <w:t>2 hoe blijf je jezelf als je je spiegelt aan anderen?</w:t>
      </w:r>
    </w:p>
    <w:p w14:paraId="7F4BF969" w14:textId="594F6F66" w:rsidR="00867E40" w:rsidRDefault="00867E40" w:rsidP="00867E40">
      <w:r>
        <w:t xml:space="preserve">Het ultieme geluk is waarschijnlijk niet te vinden in radicale afzondering maar in relaties met anderen. Het is belangrijk trouw te blijven aan jezelf en je eigen weg te vinden. Tegelijk kan je door anderen </w:t>
      </w:r>
      <w:r w:rsidR="00874D8C">
        <w:t>leren g</w:t>
      </w:r>
      <w:r w:rsidR="009432C6">
        <w:t>idsen op je eigen weg in het leven.</w:t>
      </w:r>
      <w:r w:rsidR="009A5F81" w:rsidRPr="009A5F81">
        <w:t xml:space="preserve"> </w:t>
      </w:r>
      <w:r w:rsidR="009A5F81" w:rsidRPr="009A5F81">
        <w:t>Aristoteles benoemde twee soorten kwaliteiten: intellectuele (inzicht, kennis, gezondheid) en karakter (interactie met anderen). Hij geloofde dat mensen anderen nodig hebben, en om goed met anderen om te gaan, hebben we kwaliteiten nodig, zoals goedheid, vrijheid, vrijgevigheid en goedheid. Aristoteles merkte ook op dat er een verschil is tussen de twee kwaliteiten, waarbij de eerste extreem is en de tweede slecht</w:t>
      </w:r>
      <w:r w:rsidR="009A5F81">
        <w:t>.</w:t>
      </w:r>
    </w:p>
    <w:p w14:paraId="1E8FB3BA" w14:textId="41C39F9C" w:rsidR="000D580D" w:rsidRDefault="00965807" w:rsidP="00867E40">
      <w:r w:rsidRPr="00867E40">
        <w:lastRenderedPageBreak/>
        <w:drawing>
          <wp:anchor distT="0" distB="0" distL="114300" distR="114300" simplePos="0" relativeHeight="251665408" behindDoc="1" locked="0" layoutInCell="1" allowOverlap="1" wp14:anchorId="4E48D638" wp14:editId="2A8817AE">
            <wp:simplePos x="0" y="0"/>
            <wp:positionH relativeFrom="column">
              <wp:posOffset>2451735</wp:posOffset>
            </wp:positionH>
            <wp:positionV relativeFrom="paragraph">
              <wp:posOffset>2540</wp:posOffset>
            </wp:positionV>
            <wp:extent cx="3642360" cy="2552700"/>
            <wp:effectExtent l="0" t="0" r="0" b="0"/>
            <wp:wrapTight wrapText="bothSides">
              <wp:wrapPolygon edited="0">
                <wp:start x="0" y="0"/>
                <wp:lineTo x="0" y="21439"/>
                <wp:lineTo x="21464" y="21439"/>
                <wp:lineTo x="21464" y="0"/>
                <wp:lineTo x="0" y="0"/>
              </wp:wrapPolygon>
            </wp:wrapTight>
            <wp:docPr id="1573244320" name="Afbeelding 1" descr="Afbeelding met Modeaccessoire, kett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244320" name="Afbeelding 1" descr="Afbeelding met Modeaccessoire, ketting&#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3642360" cy="2552700"/>
                    </a:xfrm>
                    <a:prstGeom prst="rect">
                      <a:avLst/>
                    </a:prstGeom>
                  </pic:spPr>
                </pic:pic>
              </a:graphicData>
            </a:graphic>
          </wp:anchor>
        </w:drawing>
      </w:r>
      <w:r w:rsidR="000D580D" w:rsidRPr="000D580D">
        <w:t xml:space="preserve">De juiste geest verschilt van persoon tot persoon en is grotendeels afhankelijk van de context, de gemeenschap en het leven. Het is essentieel om de geest te begrijpen en te gebruiken om gezond te blijven, zoals een politieagent </w:t>
      </w:r>
      <w:r w:rsidRPr="000D580D">
        <w:t>minder</w:t>
      </w:r>
      <w:r w:rsidR="000D580D" w:rsidRPr="000D580D">
        <w:t xml:space="preserve"> compassie zou moeten hebben dan een therapeut. Het geluk van een persoon is niet alleen zijn eigen geluk maar ook het geluk van anderen. Een goed karakter zal spontaan goede gewoonten creëren voor zichzelf en anderen, en geluk is een onderdeel van een "goed leven".</w:t>
      </w:r>
    </w:p>
    <w:p w14:paraId="661BA18D" w14:textId="219618B6" w:rsidR="00867E40" w:rsidRDefault="00867E40" w:rsidP="00867E40"/>
    <w:p w14:paraId="089E87C4" w14:textId="77777777" w:rsidR="00867E40" w:rsidRPr="00867E40" w:rsidRDefault="00867E40" w:rsidP="00867E40"/>
    <w:p w14:paraId="5A983309" w14:textId="5C14B76D" w:rsidR="00867E40" w:rsidRDefault="005A65AD" w:rsidP="000444D8">
      <w:pPr>
        <w:pStyle w:val="Kop1"/>
      </w:pPr>
      <w:r>
        <w:t>3</w:t>
      </w:r>
      <w:r w:rsidR="000444D8">
        <w:t xml:space="preserve"> welke deugden weerspiegelt jezus?</w:t>
      </w:r>
    </w:p>
    <w:p w14:paraId="3F9C887E" w14:textId="36C60CCD" w:rsidR="009432C6" w:rsidRDefault="006201BC" w:rsidP="009432C6">
      <w:r>
        <w:t>Wat zijn deugden?</w:t>
      </w:r>
    </w:p>
    <w:p w14:paraId="77D39FF8" w14:textId="25AC1579" w:rsidR="00EA6A1F" w:rsidRDefault="00A81F48" w:rsidP="00EA6A1F">
      <w:r>
        <w:t xml:space="preserve">Deugden zijn bijzondere en unieke </w:t>
      </w:r>
      <w:r w:rsidR="003E6AA9">
        <w:t xml:space="preserve">kwaliteiten die te maken hebben met een goed mens zijn. Een deugt is een houding, </w:t>
      </w:r>
      <w:r w:rsidR="00EA6A1F">
        <w:t>attitude</w:t>
      </w:r>
      <w:r w:rsidR="003E6AA9" w:rsidRPr="00A570E0">
        <w:rPr>
          <w:lang w:val="en-GB"/>
        </w:rPr>
        <w:t>, mi</w:t>
      </w:r>
      <w:r w:rsidR="00EA6A1F" w:rsidRPr="00A570E0">
        <w:rPr>
          <w:lang w:val="en-GB"/>
        </w:rPr>
        <w:t>nd</w:t>
      </w:r>
      <w:r w:rsidR="003E6AA9" w:rsidRPr="00A570E0">
        <w:rPr>
          <w:lang w:val="en-GB"/>
        </w:rPr>
        <w:t>set</w:t>
      </w:r>
      <w:r w:rsidR="00B5088B">
        <w:t xml:space="preserve"> die je helt om goede keuzes te maken </w:t>
      </w:r>
      <w:r w:rsidR="00EA6A1F">
        <w:t>waaraan je voortdurend aan blijft werken.</w:t>
      </w:r>
    </w:p>
    <w:tbl>
      <w:tblPr>
        <w:tblStyle w:val="Tabelraster"/>
        <w:tblW w:w="9212" w:type="dxa"/>
        <w:tblLook w:val="04A0" w:firstRow="1" w:lastRow="0" w:firstColumn="1" w:lastColumn="0" w:noHBand="0" w:noVBand="1"/>
      </w:tblPr>
      <w:tblGrid>
        <w:gridCol w:w="3070"/>
        <w:gridCol w:w="3071"/>
        <w:gridCol w:w="3071"/>
      </w:tblGrid>
      <w:tr w:rsidR="000E6733" w14:paraId="02B0B604" w14:textId="124D543B" w:rsidTr="003A2A54">
        <w:tc>
          <w:tcPr>
            <w:tcW w:w="9212" w:type="dxa"/>
            <w:gridSpan w:val="3"/>
          </w:tcPr>
          <w:p w14:paraId="38D94820" w14:textId="76308660" w:rsidR="000E6733" w:rsidRDefault="000E6733" w:rsidP="00C83340">
            <w:r>
              <w:t>Deugd= moed</w:t>
            </w:r>
          </w:p>
        </w:tc>
      </w:tr>
      <w:tr w:rsidR="00FA75B0" w14:paraId="50380314" w14:textId="44E98173" w:rsidTr="00C83340">
        <w:tc>
          <w:tcPr>
            <w:tcW w:w="3070" w:type="dxa"/>
          </w:tcPr>
          <w:p w14:paraId="542D1CB7" w14:textId="3C56AC05" w:rsidR="00C83340" w:rsidRDefault="005B677C" w:rsidP="00C83340">
            <w:r>
              <w:t>Uitersten van moed=</w:t>
            </w:r>
          </w:p>
        </w:tc>
        <w:tc>
          <w:tcPr>
            <w:tcW w:w="3071" w:type="dxa"/>
          </w:tcPr>
          <w:p w14:paraId="61B386FF" w14:textId="1ED97519" w:rsidR="00C83340" w:rsidRDefault="00682773" w:rsidP="00C83340">
            <w:r>
              <w:t>Laf(weinig led =laf, je laat je leiden door je angst)</w:t>
            </w:r>
          </w:p>
        </w:tc>
        <w:tc>
          <w:tcPr>
            <w:tcW w:w="3071" w:type="dxa"/>
          </w:tcPr>
          <w:p w14:paraId="3F4EE1C4" w14:textId="5422B67D" w:rsidR="00C83340" w:rsidRDefault="00682773" w:rsidP="00C83340">
            <w:r>
              <w:t>Roekeloos(te veel led=je ervaart geen angsten)</w:t>
            </w:r>
          </w:p>
        </w:tc>
      </w:tr>
      <w:tr w:rsidR="00FA75B0" w14:paraId="708213A6" w14:textId="77777777" w:rsidTr="00C83340">
        <w:tc>
          <w:tcPr>
            <w:tcW w:w="3070" w:type="dxa"/>
          </w:tcPr>
          <w:p w14:paraId="50436861" w14:textId="04809FB2" w:rsidR="00C83340" w:rsidRDefault="005B677C" w:rsidP="00C83340">
            <w:r>
              <w:t>Voorbeeld:</w:t>
            </w:r>
          </w:p>
        </w:tc>
        <w:tc>
          <w:tcPr>
            <w:tcW w:w="3071" w:type="dxa"/>
          </w:tcPr>
          <w:p w14:paraId="45084288" w14:textId="69C6148D" w:rsidR="00C83340" w:rsidRDefault="00FD6733" w:rsidP="00C83340">
            <w:r>
              <w:t>Iemand word gepest en  je durft voor die persoon niet op te komen.</w:t>
            </w:r>
          </w:p>
        </w:tc>
        <w:tc>
          <w:tcPr>
            <w:tcW w:w="3071" w:type="dxa"/>
          </w:tcPr>
          <w:p w14:paraId="68ED3E76" w14:textId="4D4F6105" w:rsidR="00C83340" w:rsidRDefault="00FD6733" w:rsidP="00C83340">
            <w:r>
              <w:t>Je duwt een winkelwagen, met daarin je vriend, in volle vaart tegen de stoeprand -&gt; roekeloos gedrag</w:t>
            </w:r>
          </w:p>
        </w:tc>
      </w:tr>
      <w:tr w:rsidR="000E6733" w14:paraId="2D04A9D3" w14:textId="77777777" w:rsidTr="009E4385">
        <w:tc>
          <w:tcPr>
            <w:tcW w:w="9212" w:type="dxa"/>
            <w:gridSpan w:val="3"/>
          </w:tcPr>
          <w:p w14:paraId="19109A85" w14:textId="1E7BE643" w:rsidR="000E6733" w:rsidRDefault="00BF0664" w:rsidP="00C83340">
            <w:r>
              <w:t>Deugd=vrijgevigheid</w:t>
            </w:r>
          </w:p>
        </w:tc>
      </w:tr>
      <w:tr w:rsidR="00FA75B0" w14:paraId="3C1EFB10" w14:textId="77777777" w:rsidTr="00C83340">
        <w:tc>
          <w:tcPr>
            <w:tcW w:w="3070" w:type="dxa"/>
          </w:tcPr>
          <w:p w14:paraId="26F3BE66" w14:textId="79F2720A" w:rsidR="00C83340" w:rsidRDefault="00682773" w:rsidP="00C83340">
            <w:r>
              <w:t>Uitersten van vrijgevigheid</w:t>
            </w:r>
          </w:p>
        </w:tc>
        <w:tc>
          <w:tcPr>
            <w:tcW w:w="3071" w:type="dxa"/>
          </w:tcPr>
          <w:p w14:paraId="6FDC121D" w14:textId="0DAA2211" w:rsidR="00C83340" w:rsidRDefault="00FD6733" w:rsidP="00C83340">
            <w:r>
              <w:t>gierigheid</w:t>
            </w:r>
          </w:p>
        </w:tc>
        <w:tc>
          <w:tcPr>
            <w:tcW w:w="3071" w:type="dxa"/>
          </w:tcPr>
          <w:p w14:paraId="68AFD22D" w14:textId="7B5DEFF3" w:rsidR="00C83340" w:rsidRDefault="00E43051" w:rsidP="00C83340">
            <w:r>
              <w:t>verkwisting</w:t>
            </w:r>
          </w:p>
        </w:tc>
      </w:tr>
      <w:tr w:rsidR="00FA75B0" w14:paraId="19239665" w14:textId="77777777" w:rsidTr="00C83340">
        <w:tc>
          <w:tcPr>
            <w:tcW w:w="3070" w:type="dxa"/>
          </w:tcPr>
          <w:p w14:paraId="0B92722D" w14:textId="4DB7BD2E" w:rsidR="00C83340" w:rsidRDefault="005B677C" w:rsidP="00C83340">
            <w:r>
              <w:t>Voorbeeld:</w:t>
            </w:r>
          </w:p>
        </w:tc>
        <w:tc>
          <w:tcPr>
            <w:tcW w:w="3071" w:type="dxa"/>
          </w:tcPr>
          <w:p w14:paraId="0C32E844" w14:textId="0BF8CF12" w:rsidR="00C83340" w:rsidRDefault="00E43051" w:rsidP="00C83340">
            <w:r w:rsidRPr="00E43051">
              <w:drawing>
                <wp:inline distT="0" distB="0" distL="0" distR="0" wp14:anchorId="1DDB5857" wp14:editId="1B449013">
                  <wp:extent cx="1249680" cy="1213369"/>
                  <wp:effectExtent l="0" t="0" r="0" b="0"/>
                  <wp:docPr id="20317659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65931" name=""/>
                          <pic:cNvPicPr/>
                        </pic:nvPicPr>
                        <pic:blipFill>
                          <a:blip r:embed="rId9"/>
                          <a:stretch>
                            <a:fillRect/>
                          </a:stretch>
                        </pic:blipFill>
                        <pic:spPr>
                          <a:xfrm>
                            <a:off x="0" y="0"/>
                            <a:ext cx="1256826" cy="1220307"/>
                          </a:xfrm>
                          <a:prstGeom prst="rect">
                            <a:avLst/>
                          </a:prstGeom>
                        </pic:spPr>
                      </pic:pic>
                    </a:graphicData>
                  </a:graphic>
                </wp:inline>
              </w:drawing>
            </w:r>
          </w:p>
        </w:tc>
        <w:tc>
          <w:tcPr>
            <w:tcW w:w="3071" w:type="dxa"/>
          </w:tcPr>
          <w:p w14:paraId="180529DC" w14:textId="445F4B8D" w:rsidR="00C83340" w:rsidRDefault="00D66C17" w:rsidP="00C83340">
            <w:r w:rsidRPr="00D66C17">
              <w:drawing>
                <wp:inline distT="0" distB="0" distL="0" distR="0" wp14:anchorId="16E22DC7" wp14:editId="671CC7AF">
                  <wp:extent cx="1262993" cy="1212850"/>
                  <wp:effectExtent l="0" t="0" r="0" b="0"/>
                  <wp:docPr id="7709464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946410" name=""/>
                          <pic:cNvPicPr/>
                        </pic:nvPicPr>
                        <pic:blipFill>
                          <a:blip r:embed="rId10"/>
                          <a:stretch>
                            <a:fillRect/>
                          </a:stretch>
                        </pic:blipFill>
                        <pic:spPr>
                          <a:xfrm>
                            <a:off x="0" y="0"/>
                            <a:ext cx="1289764" cy="1238558"/>
                          </a:xfrm>
                          <a:prstGeom prst="rect">
                            <a:avLst/>
                          </a:prstGeom>
                        </pic:spPr>
                      </pic:pic>
                    </a:graphicData>
                  </a:graphic>
                </wp:inline>
              </w:drawing>
            </w:r>
          </w:p>
        </w:tc>
      </w:tr>
      <w:tr w:rsidR="000E6733" w14:paraId="5779897D" w14:textId="77777777" w:rsidTr="007E6452">
        <w:tc>
          <w:tcPr>
            <w:tcW w:w="9212" w:type="dxa"/>
            <w:gridSpan w:val="3"/>
          </w:tcPr>
          <w:p w14:paraId="7099CDD0" w14:textId="7638FC15" w:rsidR="000E6733" w:rsidRDefault="00BF0664" w:rsidP="00C83340">
            <w:r>
              <w:t>Deugt= ambitie</w:t>
            </w:r>
          </w:p>
        </w:tc>
      </w:tr>
      <w:tr w:rsidR="00FA75B0" w14:paraId="6D0E8457" w14:textId="77777777" w:rsidTr="00C83340">
        <w:tc>
          <w:tcPr>
            <w:tcW w:w="3070" w:type="dxa"/>
          </w:tcPr>
          <w:p w14:paraId="6C9C7406" w14:textId="4D50931A" w:rsidR="00C83340" w:rsidRDefault="00BF0664" w:rsidP="00C83340">
            <w:r>
              <w:t>Uitersten van ambitie</w:t>
            </w:r>
            <w:r w:rsidR="005B677C">
              <w:t>=</w:t>
            </w:r>
          </w:p>
        </w:tc>
        <w:tc>
          <w:tcPr>
            <w:tcW w:w="3071" w:type="dxa"/>
          </w:tcPr>
          <w:p w14:paraId="491BEE6F" w14:textId="35665A9B" w:rsidR="00C83340" w:rsidRDefault="005B677C" w:rsidP="00C83340">
            <w:r>
              <w:t>luiheid</w:t>
            </w:r>
          </w:p>
        </w:tc>
        <w:tc>
          <w:tcPr>
            <w:tcW w:w="3071" w:type="dxa"/>
          </w:tcPr>
          <w:p w14:paraId="4F96F3A9" w14:textId="34949D58" w:rsidR="00C83340" w:rsidRDefault="00FA75B0" w:rsidP="00C83340">
            <w:r>
              <w:t>Over presteren</w:t>
            </w:r>
          </w:p>
        </w:tc>
      </w:tr>
      <w:tr w:rsidR="00FA75B0" w14:paraId="3EC0A1E8" w14:textId="77777777" w:rsidTr="00C83340">
        <w:tc>
          <w:tcPr>
            <w:tcW w:w="3070" w:type="dxa"/>
          </w:tcPr>
          <w:p w14:paraId="60F7F7A9" w14:textId="4E03AB6F" w:rsidR="00C83340" w:rsidRDefault="005B677C" w:rsidP="00C83340">
            <w:r>
              <w:t>Voorbeeld:</w:t>
            </w:r>
          </w:p>
        </w:tc>
        <w:tc>
          <w:tcPr>
            <w:tcW w:w="3071" w:type="dxa"/>
          </w:tcPr>
          <w:p w14:paraId="23E50A8E" w14:textId="66D71CAF" w:rsidR="00C83340" w:rsidRDefault="00FA75B0" w:rsidP="00C83340">
            <w:r w:rsidRPr="00FA75B0">
              <w:drawing>
                <wp:inline distT="0" distB="0" distL="0" distR="0" wp14:anchorId="018CF656" wp14:editId="0BFEF8BD">
                  <wp:extent cx="1394460" cy="1034710"/>
                  <wp:effectExtent l="0" t="0" r="0" b="0"/>
                  <wp:docPr id="79901959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019592" name=""/>
                          <pic:cNvPicPr/>
                        </pic:nvPicPr>
                        <pic:blipFill>
                          <a:blip r:embed="rId11"/>
                          <a:stretch>
                            <a:fillRect/>
                          </a:stretch>
                        </pic:blipFill>
                        <pic:spPr>
                          <a:xfrm>
                            <a:off x="0" y="0"/>
                            <a:ext cx="1411024" cy="1047001"/>
                          </a:xfrm>
                          <a:prstGeom prst="rect">
                            <a:avLst/>
                          </a:prstGeom>
                        </pic:spPr>
                      </pic:pic>
                    </a:graphicData>
                  </a:graphic>
                </wp:inline>
              </w:drawing>
            </w:r>
          </w:p>
        </w:tc>
        <w:tc>
          <w:tcPr>
            <w:tcW w:w="3071" w:type="dxa"/>
          </w:tcPr>
          <w:p w14:paraId="24D29C3D" w14:textId="004244B6" w:rsidR="00C83340" w:rsidRDefault="00FA75B0" w:rsidP="00C83340">
            <w:r w:rsidRPr="00FA75B0">
              <w:drawing>
                <wp:inline distT="0" distB="0" distL="0" distR="0" wp14:anchorId="0952A475" wp14:editId="0A0D8285">
                  <wp:extent cx="1325880" cy="1055292"/>
                  <wp:effectExtent l="0" t="0" r="0" b="0"/>
                  <wp:docPr id="133847510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75105" name=""/>
                          <pic:cNvPicPr/>
                        </pic:nvPicPr>
                        <pic:blipFill>
                          <a:blip r:embed="rId12"/>
                          <a:stretch>
                            <a:fillRect/>
                          </a:stretch>
                        </pic:blipFill>
                        <pic:spPr>
                          <a:xfrm>
                            <a:off x="0" y="0"/>
                            <a:ext cx="1334273" cy="1061973"/>
                          </a:xfrm>
                          <a:prstGeom prst="rect">
                            <a:avLst/>
                          </a:prstGeom>
                        </pic:spPr>
                      </pic:pic>
                    </a:graphicData>
                  </a:graphic>
                </wp:inline>
              </w:drawing>
            </w:r>
          </w:p>
        </w:tc>
      </w:tr>
    </w:tbl>
    <w:p w14:paraId="68E4F9C6" w14:textId="29D310F6" w:rsidR="00C83340" w:rsidRDefault="00820F4C" w:rsidP="00252887">
      <w:pPr>
        <w:pStyle w:val="Kop2"/>
      </w:pPr>
      <w:proofErr w:type="spellStart"/>
      <w:r>
        <w:lastRenderedPageBreak/>
        <w:t>M</w:t>
      </w:r>
      <w:r w:rsidR="00252887">
        <w:t>il</w:t>
      </w:r>
      <w:r>
        <w:t>gram’s</w:t>
      </w:r>
      <w:proofErr w:type="spellEnd"/>
      <w:r>
        <w:t xml:space="preserve"> experiment</w:t>
      </w:r>
    </w:p>
    <w:p w14:paraId="6ACE41FD" w14:textId="1E370713" w:rsidR="00820F4C" w:rsidRDefault="00452510" w:rsidP="00820F4C">
      <w:r w:rsidRPr="00452510">
        <w:t xml:space="preserve">Het </w:t>
      </w:r>
      <w:proofErr w:type="spellStart"/>
      <w:r w:rsidRPr="00452510">
        <w:t>Milgram</w:t>
      </w:r>
      <w:proofErr w:type="spellEnd"/>
      <w:r w:rsidRPr="00452510">
        <w:t xml:space="preserve">-experiment toont aan dat een geloof in waarden en normen geen definitieve voorwaarde is voor moreel gedrag. Een goed karakter impliceert de mogelijkheid van morele keuzes, morele vasthoudendheid en morele wil. Dit is echter niet voldoende voor moreel gedrag. Een sterk karakter is ook noodzakelijk voor moreel gedrag. Het experiment toont ook aan dat elk gedrag dat je uitvoert resulteert in een beloning, waardoor de uitvoering van dat gedrag effectiever wordt en het optreden van de stoornis wordt voorkomen. Aristoteles' concept van moraliteit suggereert dat we de macht hebben om morele karakterconflicten te creëren en dat woorden worden gebruikt om morele waarden over te brengen. Het </w:t>
      </w:r>
      <w:proofErr w:type="spellStart"/>
      <w:r w:rsidRPr="00452510">
        <w:t>Milgram</w:t>
      </w:r>
      <w:proofErr w:type="spellEnd"/>
      <w:r w:rsidRPr="00452510">
        <w:t>-experiment laat zien dat respect voor morele waarden geen definitieve voorwaarde is voor moreel gedrag. In de praktijk moet men de abstracte waarden bezitten, die moreel gelijkwaardig zijn.</w:t>
      </w:r>
    </w:p>
    <w:p w14:paraId="73936F9C" w14:textId="1F06A784" w:rsidR="00E47BF1" w:rsidRDefault="009A6970" w:rsidP="009A6970">
      <w:pPr>
        <w:pStyle w:val="Kop2"/>
      </w:pPr>
      <w:r>
        <w:t>7 christelijke deugden</w:t>
      </w:r>
    </w:p>
    <w:p w14:paraId="38CAF4FB" w14:textId="77777777" w:rsidR="009A6970" w:rsidRDefault="009A6970" w:rsidP="009A6970">
      <w:r w:rsidRPr="009A6970">
        <w:t xml:space="preserve">In het midden van de veertiende eeuw stelden christelijke theologen zeven doctrines voor die christenen moesten ontwikkelen, gebaseerd op vier natuurlijke en drie goddelijke doctrines. </w:t>
      </w:r>
    </w:p>
    <w:p w14:paraId="50F44224" w14:textId="77777777" w:rsidR="009A6970" w:rsidRDefault="009A6970" w:rsidP="009A6970">
      <w:r w:rsidRPr="009A6970">
        <w:t xml:space="preserve">De natuurlijke doctrines waren gebaseerd op de vier kardinale doctrines uit de Griekse tijd: </w:t>
      </w:r>
    </w:p>
    <w:p w14:paraId="49151020" w14:textId="19E2FA9D" w:rsidR="009A6970" w:rsidRDefault="009A6970" w:rsidP="009A6970">
      <w:pPr>
        <w:pStyle w:val="Lijstalinea"/>
        <w:numPr>
          <w:ilvl w:val="0"/>
          <w:numId w:val="1"/>
        </w:numPr>
      </w:pPr>
      <w:r>
        <w:t>Voorzichtigheid</w:t>
      </w:r>
    </w:p>
    <w:p w14:paraId="7175D82D" w14:textId="3A2B0C4C" w:rsidR="009A6970" w:rsidRDefault="009A6970" w:rsidP="009A6970">
      <w:pPr>
        <w:pStyle w:val="Lijstalinea"/>
        <w:numPr>
          <w:ilvl w:val="0"/>
          <w:numId w:val="1"/>
        </w:numPr>
      </w:pPr>
      <w:r>
        <w:t>Matigheid</w:t>
      </w:r>
    </w:p>
    <w:p w14:paraId="1C6DE3A0" w14:textId="66C0E7DA" w:rsidR="009A6970" w:rsidRDefault="009A6970" w:rsidP="009A6970">
      <w:pPr>
        <w:pStyle w:val="Lijstalinea"/>
        <w:numPr>
          <w:ilvl w:val="0"/>
          <w:numId w:val="1"/>
        </w:numPr>
      </w:pPr>
      <w:r>
        <w:t>Moed</w:t>
      </w:r>
    </w:p>
    <w:p w14:paraId="7006FAC5" w14:textId="4869CE8C" w:rsidR="009A6970" w:rsidRDefault="009A6970" w:rsidP="009A6970">
      <w:pPr>
        <w:pStyle w:val="Lijstalinea"/>
        <w:numPr>
          <w:ilvl w:val="0"/>
          <w:numId w:val="1"/>
        </w:numPr>
      </w:pPr>
      <w:r>
        <w:t>rechtvaardigheid</w:t>
      </w:r>
    </w:p>
    <w:p w14:paraId="2AF18A9F" w14:textId="5D252091" w:rsidR="009A6970" w:rsidRPr="009A6970" w:rsidRDefault="009A6970" w:rsidP="009A6970">
      <w:r w:rsidRPr="009A6970">
        <w:t>De goddelijke doctrines waren afgeleid van de leerstellingen van Paulus.</w:t>
      </w:r>
    </w:p>
    <w:p w14:paraId="0EAE21C6" w14:textId="02CACAED" w:rsidR="00820F4C" w:rsidRDefault="009A6970" w:rsidP="009A6970">
      <w:pPr>
        <w:pStyle w:val="Lijstalinea"/>
        <w:numPr>
          <w:ilvl w:val="0"/>
          <w:numId w:val="1"/>
        </w:numPr>
      </w:pPr>
      <w:r>
        <w:t>Geloof</w:t>
      </w:r>
    </w:p>
    <w:p w14:paraId="4A403B83" w14:textId="4D4FD06D" w:rsidR="009A6970" w:rsidRDefault="009A6970" w:rsidP="009A6970">
      <w:pPr>
        <w:pStyle w:val="Lijstalinea"/>
        <w:numPr>
          <w:ilvl w:val="0"/>
          <w:numId w:val="1"/>
        </w:numPr>
      </w:pPr>
      <w:r>
        <w:t>Hoop</w:t>
      </w:r>
    </w:p>
    <w:p w14:paraId="6C7701E7" w14:textId="69F75318" w:rsidR="009A6970" w:rsidRPr="00820F4C" w:rsidRDefault="009A6970" w:rsidP="009A6970">
      <w:pPr>
        <w:pStyle w:val="Lijstalinea"/>
        <w:numPr>
          <w:ilvl w:val="0"/>
          <w:numId w:val="1"/>
        </w:numPr>
      </w:pPr>
      <w:r>
        <w:t>liefde</w:t>
      </w:r>
    </w:p>
    <w:p w14:paraId="7800EAD7" w14:textId="5EF854A1" w:rsidR="000444D8" w:rsidRDefault="004F318C" w:rsidP="00EA6A1F">
      <w:pPr>
        <w:pStyle w:val="Kop1"/>
      </w:pPr>
      <w:r>
        <w:t>4 je spiegelen aan jezus, wat houd dat in?</w:t>
      </w:r>
    </w:p>
    <w:p w14:paraId="31F29B0E" w14:textId="220510B4" w:rsidR="006201BC" w:rsidRDefault="002249C8" w:rsidP="00696739">
      <w:pPr>
        <w:pStyle w:val="Kop2"/>
      </w:pPr>
      <w:r>
        <w:t>Begrippen</w:t>
      </w:r>
    </w:p>
    <w:p w14:paraId="6B0D88B7" w14:textId="5D0DFD44" w:rsidR="008D4396" w:rsidRPr="00696739" w:rsidRDefault="002249C8" w:rsidP="00696739">
      <w:pPr>
        <w:rPr>
          <w:b/>
          <w:bCs/>
        </w:rPr>
      </w:pPr>
      <w:r w:rsidRPr="00696739">
        <w:rPr>
          <w:b/>
          <w:bCs/>
        </w:rPr>
        <w:t>Zaligsprekingen</w:t>
      </w:r>
      <w:r w:rsidR="00696739">
        <w:rPr>
          <w:b/>
          <w:bCs/>
        </w:rPr>
        <w:tab/>
      </w:r>
      <w:r w:rsidR="006E49E5">
        <w:rPr>
          <w:shd w:val="clear" w:color="auto" w:fill="F3F6F7"/>
        </w:rPr>
        <w:t xml:space="preserve">De </w:t>
      </w:r>
      <w:r w:rsidR="00696739">
        <w:rPr>
          <w:shd w:val="clear" w:color="auto" w:fill="F3F6F7"/>
        </w:rPr>
        <w:t>zaligsprekingen</w:t>
      </w:r>
      <w:r w:rsidR="006E49E5">
        <w:rPr>
          <w:shd w:val="clear" w:color="auto" w:fill="F3F6F7"/>
        </w:rPr>
        <w:t xml:space="preserve"> van Jezus in de Bergrede prijzen iedereen zalig  (= gelukkig) die tegen de </w:t>
      </w:r>
      <w:r w:rsidR="00696739">
        <w:rPr>
          <w:shd w:val="clear" w:color="auto" w:fill="F3F6F7"/>
        </w:rPr>
        <w:t>gangbare</w:t>
      </w:r>
      <w:r w:rsidR="006E49E5">
        <w:rPr>
          <w:shd w:val="clear" w:color="auto" w:fill="F3F6F7"/>
        </w:rPr>
        <w:t xml:space="preserve"> stroom in de levensstijl van Jezus navolgt. Op zo’n leven rust een oneindige zegen, zegt Jezus.</w:t>
      </w:r>
    </w:p>
    <w:p w14:paraId="779B8FFA" w14:textId="5537E502" w:rsidR="006E49E5" w:rsidRPr="00AE07D8" w:rsidRDefault="008D4396" w:rsidP="00696739">
      <w:pPr>
        <w:rPr>
          <w:b/>
          <w:bCs/>
        </w:rPr>
      </w:pPr>
      <w:r w:rsidRPr="00696739">
        <w:rPr>
          <w:b/>
          <w:bCs/>
        </w:rPr>
        <w:t>Barmhartigheid</w:t>
      </w:r>
      <w:r w:rsidR="00AE07D8">
        <w:rPr>
          <w:b/>
          <w:bCs/>
        </w:rPr>
        <w:tab/>
      </w:r>
      <w:r w:rsidR="006E49E5">
        <w:rPr>
          <w:shd w:val="clear" w:color="auto" w:fill="F3F6F7"/>
        </w:rPr>
        <w:t xml:space="preserve">Het woord is afgeleid van het Latijnse </w:t>
      </w:r>
      <w:r w:rsidR="006E49E5" w:rsidRPr="00A570E0">
        <w:rPr>
          <w:shd w:val="clear" w:color="auto" w:fill="F3F6F7"/>
          <w:lang w:val="la-Latn"/>
        </w:rPr>
        <w:t xml:space="preserve">misericordia </w:t>
      </w:r>
      <w:r w:rsidR="006E49E5">
        <w:rPr>
          <w:shd w:val="clear" w:color="auto" w:fill="F3F6F7"/>
        </w:rPr>
        <w:t>(</w:t>
      </w:r>
      <w:r w:rsidR="006E49E5" w:rsidRPr="00A570E0">
        <w:rPr>
          <w:shd w:val="clear" w:color="auto" w:fill="F3F6F7"/>
          <w:lang w:val="la-Latn"/>
        </w:rPr>
        <w:t>miser</w:t>
      </w:r>
      <w:r w:rsidR="006E49E5">
        <w:rPr>
          <w:shd w:val="clear" w:color="auto" w:fill="F3F6F7"/>
        </w:rPr>
        <w:t xml:space="preserve"> = arm, cor = hart). Het betekent een hart hebben voor al wie letterlijk of figuurlijk arm is, noodlijdend is</w:t>
      </w:r>
    </w:p>
    <w:p w14:paraId="4351B5DE" w14:textId="5643C617" w:rsidR="008D4396" w:rsidRPr="00AE07D8" w:rsidRDefault="008D4396" w:rsidP="00696739">
      <w:pPr>
        <w:rPr>
          <w:b/>
          <w:bCs/>
        </w:rPr>
      </w:pPr>
      <w:r w:rsidRPr="00AE07D8">
        <w:rPr>
          <w:b/>
          <w:bCs/>
        </w:rPr>
        <w:t>Koninkrijk van god, koninkrijk van de hemel</w:t>
      </w:r>
      <w:r w:rsidR="00AE07D8">
        <w:rPr>
          <w:b/>
          <w:bCs/>
        </w:rPr>
        <w:tab/>
      </w:r>
      <w:r w:rsidR="00696739">
        <w:rPr>
          <w:shd w:val="clear" w:color="auto" w:fill="F3F6F7"/>
        </w:rPr>
        <w:t xml:space="preserve">Dit is een gemeenschap waarin Gods droom met de wereld werkelijkheid wordt. Vanuit Gods liefdeskracht spannen mensen er zich in om iedereen tot zijn recht te laten komen. Er is een verbondenheid met God en </w:t>
      </w:r>
      <w:r w:rsidR="00AE07D8">
        <w:rPr>
          <w:shd w:val="clear" w:color="auto" w:fill="F3F6F7"/>
        </w:rPr>
        <w:t>elkander</w:t>
      </w:r>
      <w:r w:rsidR="00696739">
        <w:rPr>
          <w:shd w:val="clear" w:color="auto" w:fill="F3F6F7"/>
        </w:rPr>
        <w:t>, die niet eindigt met de dood</w:t>
      </w:r>
      <w:r w:rsidR="00C83340">
        <w:rPr>
          <w:shd w:val="clear" w:color="auto" w:fill="F3F6F7"/>
        </w:rPr>
        <w:t>.</w:t>
      </w:r>
    </w:p>
    <w:sectPr w:rsidR="008D4396" w:rsidRPr="00AE07D8" w:rsidSect="00867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3A50"/>
    <w:multiLevelType w:val="hybridMultilevel"/>
    <w:tmpl w:val="61BCCC2A"/>
    <w:lvl w:ilvl="0" w:tplc="12FE197E">
      <w:start w:val="7"/>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80855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67E40"/>
    <w:rsid w:val="000444D8"/>
    <w:rsid w:val="00072C93"/>
    <w:rsid w:val="000D580D"/>
    <w:rsid w:val="000E6733"/>
    <w:rsid w:val="001A6C4E"/>
    <w:rsid w:val="002249C8"/>
    <w:rsid w:val="00252887"/>
    <w:rsid w:val="00280586"/>
    <w:rsid w:val="002A3304"/>
    <w:rsid w:val="003E6AA9"/>
    <w:rsid w:val="00452510"/>
    <w:rsid w:val="004F318C"/>
    <w:rsid w:val="005A65AD"/>
    <w:rsid w:val="005B677C"/>
    <w:rsid w:val="006201BC"/>
    <w:rsid w:val="00682773"/>
    <w:rsid w:val="00696739"/>
    <w:rsid w:val="006E49E5"/>
    <w:rsid w:val="00820F4C"/>
    <w:rsid w:val="00867E40"/>
    <w:rsid w:val="00874D8C"/>
    <w:rsid w:val="008D4396"/>
    <w:rsid w:val="009432C6"/>
    <w:rsid w:val="00965807"/>
    <w:rsid w:val="009A5F81"/>
    <w:rsid w:val="009A6970"/>
    <w:rsid w:val="009E3895"/>
    <w:rsid w:val="00A570E0"/>
    <w:rsid w:val="00A77651"/>
    <w:rsid w:val="00A81F48"/>
    <w:rsid w:val="00AE07D8"/>
    <w:rsid w:val="00B5088B"/>
    <w:rsid w:val="00BF0664"/>
    <w:rsid w:val="00C83340"/>
    <w:rsid w:val="00D60121"/>
    <w:rsid w:val="00D66C17"/>
    <w:rsid w:val="00E43051"/>
    <w:rsid w:val="00E47BF1"/>
    <w:rsid w:val="00EA6A1F"/>
    <w:rsid w:val="00F4340F"/>
    <w:rsid w:val="00F72BF8"/>
    <w:rsid w:val="00FA75B0"/>
    <w:rsid w:val="00FD67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30BB"/>
  <w15:docId w15:val="{314A078E-DEC0-47A3-9D04-FF7B8D37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7E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67E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7E40"/>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867E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7E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7E40"/>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867E40"/>
    <w:rPr>
      <w:rFonts w:eastAsiaTheme="minorEastAsia"/>
      <w:color w:val="5A5A5A" w:themeColor="text1" w:themeTint="A5"/>
      <w:spacing w:val="15"/>
    </w:rPr>
  </w:style>
  <w:style w:type="character" w:customStyle="1" w:styleId="Kop2Char">
    <w:name w:val="Kop 2 Char"/>
    <w:basedOn w:val="Standaardalinea-lettertype"/>
    <w:link w:val="Kop2"/>
    <w:uiPriority w:val="9"/>
    <w:rsid w:val="00867E40"/>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C83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A6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30AEF116358409ED162CE9F10CAFD" ma:contentTypeVersion="16" ma:contentTypeDescription="Een nieuw document maken." ma:contentTypeScope="" ma:versionID="b4b45017ccee1615d138ed113b86cb53">
  <xsd:schema xmlns:xsd="http://www.w3.org/2001/XMLSchema" xmlns:xs="http://www.w3.org/2001/XMLSchema" xmlns:p="http://schemas.microsoft.com/office/2006/metadata/properties" xmlns:ns3="7bfbdbd8-354b-49cf-be25-3437738554cf" xmlns:ns4="db5d78c0-f122-4e4a-8b2d-149176c24050" targetNamespace="http://schemas.microsoft.com/office/2006/metadata/properties" ma:root="true" ma:fieldsID="b94d6164760a40cbd104b7c5e2b04371" ns3:_="" ns4:_="">
    <xsd:import namespace="7bfbdbd8-354b-49cf-be25-3437738554cf"/>
    <xsd:import namespace="db5d78c0-f122-4e4a-8b2d-149176c240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bdbd8-354b-49cf-be25-343773855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d78c0-f122-4e4a-8b2d-149176c2405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bfbdbd8-354b-49cf-be25-3437738554cf" xsi:nil="true"/>
  </documentManagement>
</p:properties>
</file>

<file path=customXml/itemProps1.xml><?xml version="1.0" encoding="utf-8"?>
<ds:datastoreItem xmlns:ds="http://schemas.openxmlformats.org/officeDocument/2006/customXml" ds:itemID="{894F4D9A-51E9-48D8-A938-6B202A182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bdbd8-354b-49cf-be25-3437738554cf"/>
    <ds:schemaRef ds:uri="db5d78c0-f122-4e4a-8b2d-149176c24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DF20C-DC70-4ED9-A59C-2F4AE99B9A37}">
  <ds:schemaRefs>
    <ds:schemaRef ds:uri="http://schemas.microsoft.com/sharepoint/v3/contenttype/forms"/>
  </ds:schemaRefs>
</ds:datastoreItem>
</file>

<file path=customXml/itemProps3.xml><?xml version="1.0" encoding="utf-8"?>
<ds:datastoreItem xmlns:ds="http://schemas.openxmlformats.org/officeDocument/2006/customXml" ds:itemID="{8B5D3B6A-1773-42D1-A2D6-16C8BAE60307}">
  <ds:schemaRefs>
    <ds:schemaRef ds:uri="http://purl.org/dc/elements/1.1/"/>
    <ds:schemaRef ds:uri="db5d78c0-f122-4e4a-8b2d-149176c24050"/>
    <ds:schemaRef ds:uri="http://schemas.microsoft.com/office/infopath/2007/PartnerControl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7bfbdbd8-354b-49cf-be25-3437738554c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5561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Callens</dc:creator>
  <cp:keywords/>
  <dc:description/>
  <cp:lastModifiedBy>Aline Callens</cp:lastModifiedBy>
  <cp:revision>41</cp:revision>
  <dcterms:created xsi:type="dcterms:W3CDTF">2023-11-18T14:17:00Z</dcterms:created>
  <dcterms:modified xsi:type="dcterms:W3CDTF">2023-11-18T15:49:00Z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0x010100D5B30AEF116358409ED162CE9F10CAFD</vt:lpwstr>
  </property>
</Properties>
</file>