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1DD4" w14:textId="5E40B445" w:rsidR="002F1AF0" w:rsidRDefault="002F1AF0" w:rsidP="002F1AF0">
      <w:pPr>
        <w:pStyle w:val="Normaalweb"/>
        <w:spacing w:before="0" w:beforeAutospacing="0" w:after="0" w:afterAutospacing="0"/>
        <w:rPr>
          <w:rFonts w:ascii="Calibri" w:hAnsi="Calibri" w:cs="Calibri"/>
          <w:b/>
          <w:bCs/>
          <w:sz w:val="22"/>
          <w:szCs w:val="22"/>
        </w:rPr>
      </w:pPr>
      <w:r>
        <w:rPr>
          <w:rFonts w:ascii="Calibri" w:hAnsi="Calibri" w:cs="Calibri"/>
          <w:b/>
          <w:bCs/>
          <w:sz w:val="22"/>
          <w:szCs w:val="22"/>
        </w:rPr>
        <w:t>Economie samenvatting</w:t>
      </w:r>
    </w:p>
    <w:p w14:paraId="24BD89CF" w14:textId="1B5E5FE9"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b/>
          <w:bCs/>
          <w:sz w:val="22"/>
          <w:szCs w:val="22"/>
        </w:rPr>
        <w:t>Hoofdstuk 1</w:t>
      </w:r>
    </w:p>
    <w:p w14:paraId="165C7F7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De conjunctuurlijn geeft de reële economische groei (</w:t>
      </w:r>
      <w:r>
        <w:rPr>
          <w:rFonts w:ascii="Calibri" w:hAnsi="Calibri" w:cs="Calibri"/>
          <w:color w:val="ED7D31"/>
          <w:sz w:val="22"/>
          <w:szCs w:val="22"/>
        </w:rPr>
        <w:t>Blauwe</w:t>
      </w:r>
      <w:r>
        <w:rPr>
          <w:rFonts w:ascii="Calibri" w:hAnsi="Calibri" w:cs="Calibri"/>
          <w:sz w:val="22"/>
          <w:szCs w:val="22"/>
        </w:rPr>
        <w:t xml:space="preserve"> lijn)</w:t>
      </w:r>
    </w:p>
    <w:p w14:paraId="7593246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De trendmatige groei is de gemiddelde groei van de afgelopen 10 jaar (</w:t>
      </w:r>
      <w:r>
        <w:rPr>
          <w:rFonts w:ascii="Calibri" w:hAnsi="Calibri" w:cs="Calibri"/>
          <w:color w:val="ED7D31"/>
          <w:sz w:val="22"/>
          <w:szCs w:val="22"/>
        </w:rPr>
        <w:t>Rode</w:t>
      </w:r>
      <w:r>
        <w:rPr>
          <w:rFonts w:ascii="Calibri" w:hAnsi="Calibri" w:cs="Calibri"/>
          <w:sz w:val="22"/>
          <w:szCs w:val="22"/>
        </w:rPr>
        <w:t xml:space="preserve"> lijn)</w:t>
      </w:r>
    </w:p>
    <w:p w14:paraId="28E8E015"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08E95CED"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Alleen onder de 0 is er sprake van economische krimp, boven de 0 is er economische groei</w:t>
      </w:r>
    </w:p>
    <w:p w14:paraId="7B9E94A9"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0DBA09D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Hoogconjunctuur</w:t>
      </w:r>
      <w:r>
        <w:rPr>
          <w:rFonts w:ascii="Calibri" w:hAnsi="Calibri" w:cs="Calibri"/>
          <w:sz w:val="22"/>
          <w:szCs w:val="22"/>
        </w:rPr>
        <w:t>: als de economie (BBP) sterker groeit dan de trendmatige groei</w:t>
      </w:r>
    </w:p>
    <w:p w14:paraId="3517322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Laagconjunctuur</w:t>
      </w:r>
      <w:r>
        <w:rPr>
          <w:rFonts w:ascii="Calibri" w:hAnsi="Calibri" w:cs="Calibri"/>
          <w:sz w:val="22"/>
          <w:szCs w:val="22"/>
        </w:rPr>
        <w:t>: als de economie (BBP) minder sterk groeit dan de trendmatige groei</w:t>
      </w:r>
    </w:p>
    <w:p w14:paraId="55EACCFE"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2BC6FE2C"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u w:val="single"/>
        </w:rPr>
        <w:t>3 kenmerken:</w:t>
      </w:r>
    </w:p>
    <w:p w14:paraId="0C11A5EB"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1. de beweging is onregelmatig en niet te voorspellen</w:t>
      </w:r>
    </w:p>
    <w:p w14:paraId="1C16EA3C"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Conjunctuurindicatoren</w:t>
      </w:r>
      <w:r>
        <w:rPr>
          <w:rFonts w:ascii="Calibri" w:hAnsi="Calibri" w:cs="Calibri"/>
          <w:sz w:val="22"/>
          <w:szCs w:val="22"/>
        </w:rPr>
        <w:t>: variabelen die een voorspelling van het bbp geven (waarde is eerder bekend dan het bbp)</w:t>
      </w:r>
    </w:p>
    <w:p w14:paraId="3624CCAD"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3CCCCA43"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2. er zijn </w:t>
      </w:r>
      <w:r>
        <w:rPr>
          <w:rFonts w:ascii="Calibri" w:hAnsi="Calibri" w:cs="Calibri"/>
          <w:color w:val="ED7D31"/>
          <w:sz w:val="22"/>
          <w:szCs w:val="22"/>
        </w:rPr>
        <w:t xml:space="preserve">procyclische </w:t>
      </w:r>
      <w:r>
        <w:rPr>
          <w:rFonts w:ascii="Calibri" w:hAnsi="Calibri" w:cs="Calibri"/>
          <w:color w:val="000000"/>
          <w:sz w:val="22"/>
          <w:szCs w:val="22"/>
        </w:rPr>
        <w:t xml:space="preserve">variabelen: bewegen mee met de conjunctuurlijn. </w:t>
      </w:r>
    </w:p>
    <w:p w14:paraId="177835C6"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Bijvoorbeeld consumptie → hoogconjunctuur → bbp hoog → consumptie neemt ook toe.</w:t>
      </w:r>
    </w:p>
    <w:p w14:paraId="79B3A0B4"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7B2906EF"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3. er zijn </w:t>
      </w:r>
      <w:r>
        <w:rPr>
          <w:rFonts w:ascii="Calibri" w:hAnsi="Calibri" w:cs="Calibri"/>
          <w:color w:val="ED7D31"/>
          <w:sz w:val="22"/>
          <w:szCs w:val="22"/>
        </w:rPr>
        <w:t>anticyclische</w:t>
      </w:r>
      <w:r>
        <w:rPr>
          <w:rFonts w:ascii="Calibri" w:hAnsi="Calibri" w:cs="Calibri"/>
          <w:color w:val="000000"/>
          <w:sz w:val="22"/>
          <w:szCs w:val="22"/>
        </w:rPr>
        <w:t xml:space="preserve"> indicatoren: bewegen juist tegengesteld t.o.v. de conjunctuurlijn.</w:t>
      </w:r>
    </w:p>
    <w:p w14:paraId="6FFBEE3D"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Bijvoorbeeld werkloosheid → hoogconjunctuur → werkloosheid daalt.</w:t>
      </w:r>
    </w:p>
    <w:p w14:paraId="2EEF9E43"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39972CCF"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Appreciatie</w:t>
      </w:r>
      <w:r>
        <w:rPr>
          <w:rFonts w:ascii="Calibri" w:hAnsi="Calibri" w:cs="Calibri"/>
          <w:sz w:val="22"/>
          <w:szCs w:val="22"/>
        </w:rPr>
        <w:t>: stijging wisselkoers (= prijs)</w:t>
      </w:r>
    </w:p>
    <w:p w14:paraId="779ECB13"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Depreciatie</w:t>
      </w:r>
      <w:r>
        <w:rPr>
          <w:rFonts w:ascii="Calibri" w:hAnsi="Calibri" w:cs="Calibri"/>
          <w:sz w:val="22"/>
          <w:szCs w:val="22"/>
        </w:rPr>
        <w:t>: daling wisselkoers (= prijs)</w:t>
      </w:r>
    </w:p>
    <w:p w14:paraId="21E19BD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6724CF16"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Betalingsbalans: alle transacties tussen een land en andere landen in valuta</w:t>
      </w:r>
    </w:p>
    <w:p w14:paraId="0A29777B"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Transacties aan de inkomstenkant gaan altijd gepaard met een vraag naar euro's. </w:t>
      </w:r>
      <w:r>
        <w:rPr>
          <w:rFonts w:ascii="Calibri" w:hAnsi="Calibri" w:cs="Calibri"/>
          <w:color w:val="ED7D31"/>
          <w:sz w:val="22"/>
          <w:szCs w:val="22"/>
        </w:rPr>
        <w:t>Dus inkomsten = vraag naar euro's</w:t>
      </w:r>
    </w:p>
    <w:p w14:paraId="73D96027"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Transacties aan de uitgavenkant gaan altijd gepaard met een aanbod van euro's. </w:t>
      </w:r>
      <w:r>
        <w:rPr>
          <w:rFonts w:ascii="Calibri" w:hAnsi="Calibri" w:cs="Calibri"/>
          <w:color w:val="ED7D31"/>
          <w:sz w:val="22"/>
          <w:szCs w:val="22"/>
        </w:rPr>
        <w:t>Dus uitgaven = aanbod van euro's</w:t>
      </w:r>
    </w:p>
    <w:p w14:paraId="754ABA64" w14:textId="77777777" w:rsidR="002F1AF0" w:rsidRDefault="002F1AF0" w:rsidP="002F1AF0">
      <w:pPr>
        <w:pStyle w:val="Normaalweb"/>
        <w:spacing w:before="0" w:beforeAutospacing="0" w:after="0" w:afterAutospacing="0"/>
        <w:rPr>
          <w:rFonts w:ascii="Calibri" w:hAnsi="Calibri" w:cs="Calibri"/>
          <w:color w:val="ED7D31"/>
          <w:sz w:val="22"/>
          <w:szCs w:val="22"/>
        </w:rPr>
      </w:pPr>
      <w:r>
        <w:rPr>
          <w:rFonts w:ascii="Calibri" w:hAnsi="Calibri" w:cs="Calibri"/>
          <w:color w:val="ED7D31"/>
          <w:sz w:val="22"/>
          <w:szCs w:val="22"/>
        </w:rPr>
        <w:t> </w:t>
      </w:r>
    </w:p>
    <w:p w14:paraId="4EDD82D7"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b/>
          <w:bCs/>
          <w:sz w:val="22"/>
          <w:szCs w:val="22"/>
        </w:rPr>
        <w:t>Hoofdstuk 2</w:t>
      </w:r>
    </w:p>
    <w:p w14:paraId="22F15D54" w14:textId="758FD866"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Geaggregeerde aanbod</w:t>
      </w:r>
      <w:r>
        <w:rPr>
          <w:rFonts w:ascii="Calibri" w:hAnsi="Calibri" w:cs="Calibri"/>
          <w:sz w:val="22"/>
          <w:szCs w:val="22"/>
        </w:rPr>
        <w:t xml:space="preserve">: het aanbod van alle </w:t>
      </w:r>
      <w:r>
        <w:rPr>
          <w:rFonts w:ascii="Calibri" w:hAnsi="Calibri" w:cs="Calibri"/>
          <w:sz w:val="22"/>
          <w:szCs w:val="22"/>
        </w:rPr>
        <w:t xml:space="preserve"> </w:t>
      </w:r>
      <w:r>
        <w:rPr>
          <w:rFonts w:ascii="Calibri" w:hAnsi="Calibri" w:cs="Calibri"/>
          <w:sz w:val="22"/>
          <w:szCs w:val="22"/>
        </w:rPr>
        <w:t xml:space="preserve"> in een land samen.</w:t>
      </w:r>
    </w:p>
    <w:p w14:paraId="20963696"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Geaggregeerde vraag</w:t>
      </w:r>
      <w:r>
        <w:rPr>
          <w:rFonts w:ascii="Calibri" w:hAnsi="Calibri" w:cs="Calibri"/>
          <w:sz w:val="22"/>
          <w:szCs w:val="22"/>
        </w:rPr>
        <w:t>: totale vraag naar goederen en diensten van alle vragers in een land samen.</w:t>
      </w:r>
    </w:p>
    <w:p w14:paraId="3DB8CE84"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75D7765E"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Collectieve hoeveelheden</w:t>
      </w:r>
      <w:r>
        <w:rPr>
          <w:rFonts w:ascii="Calibri" w:hAnsi="Calibri" w:cs="Calibri"/>
          <w:sz w:val="22"/>
          <w:szCs w:val="22"/>
        </w:rPr>
        <w:t xml:space="preserve"> gaan over hele vraag en aanbod van een </w:t>
      </w:r>
      <w:r>
        <w:rPr>
          <w:rFonts w:ascii="Calibri" w:hAnsi="Calibri" w:cs="Calibri"/>
          <w:sz w:val="22"/>
          <w:szCs w:val="22"/>
          <w:u w:val="single"/>
        </w:rPr>
        <w:t>bepaalde markt</w:t>
      </w:r>
      <w:r>
        <w:rPr>
          <w:rFonts w:ascii="Calibri" w:hAnsi="Calibri" w:cs="Calibri"/>
          <w:sz w:val="22"/>
          <w:szCs w:val="22"/>
        </w:rPr>
        <w:t>.</w:t>
      </w:r>
    </w:p>
    <w:p w14:paraId="65E4DAE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Geaggregeerde hoeveelheden</w:t>
      </w:r>
      <w:r>
        <w:rPr>
          <w:rFonts w:ascii="Calibri" w:hAnsi="Calibri" w:cs="Calibri"/>
          <w:sz w:val="22"/>
          <w:szCs w:val="22"/>
        </w:rPr>
        <w:t xml:space="preserve"> gaan over </w:t>
      </w:r>
      <w:r>
        <w:rPr>
          <w:rFonts w:ascii="Calibri" w:hAnsi="Calibri" w:cs="Calibri"/>
          <w:sz w:val="22"/>
          <w:szCs w:val="22"/>
          <w:u w:val="single"/>
        </w:rPr>
        <w:t>totaal van economie</w:t>
      </w:r>
      <w:r>
        <w:rPr>
          <w:rFonts w:ascii="Calibri" w:hAnsi="Calibri" w:cs="Calibri"/>
          <w:sz w:val="22"/>
          <w:szCs w:val="22"/>
        </w:rPr>
        <w:t>.</w:t>
      </w:r>
    </w:p>
    <w:p w14:paraId="17AD9E6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7AA31694"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u w:val="single"/>
        </w:rPr>
        <w:t>Lange termijn geaggregeerd aanbod (</w:t>
      </w:r>
      <w:r>
        <w:rPr>
          <w:rFonts w:ascii="Calibri" w:hAnsi="Calibri" w:cs="Calibri"/>
          <w:color w:val="ED7D31"/>
          <w:sz w:val="22"/>
          <w:szCs w:val="22"/>
          <w:u w:val="single"/>
        </w:rPr>
        <w:t>LTGA</w:t>
      </w:r>
      <w:r>
        <w:rPr>
          <w:rFonts w:ascii="Calibri" w:hAnsi="Calibri" w:cs="Calibri"/>
          <w:sz w:val="22"/>
          <w:szCs w:val="22"/>
          <w:u w:val="single"/>
        </w:rPr>
        <w:t>) wordt bepaald door</w:t>
      </w:r>
      <w:r>
        <w:rPr>
          <w:rFonts w:ascii="Calibri" w:hAnsi="Calibri" w:cs="Calibri"/>
          <w:sz w:val="22"/>
          <w:szCs w:val="22"/>
        </w:rPr>
        <w:t>:</w:t>
      </w:r>
    </w:p>
    <w:p w14:paraId="5DA6364E"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1. Beschikbare productiefactoren (</w:t>
      </w:r>
      <w:r>
        <w:rPr>
          <w:rFonts w:ascii="Calibri" w:hAnsi="Calibri" w:cs="Calibri"/>
          <w:color w:val="ED7D31"/>
          <w:sz w:val="22"/>
          <w:szCs w:val="22"/>
        </w:rPr>
        <w:t>KANO</w:t>
      </w:r>
      <w:r>
        <w:rPr>
          <w:rFonts w:ascii="Calibri" w:hAnsi="Calibri" w:cs="Calibri"/>
          <w:sz w:val="22"/>
          <w:szCs w:val="22"/>
        </w:rPr>
        <w:t>: kapitaal/arbeid/natuur/ondernemerschap)</w:t>
      </w:r>
    </w:p>
    <w:p w14:paraId="4C7E48FE"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2. Manier waarop die worden gebruikt</w:t>
      </w:r>
    </w:p>
    <w:p w14:paraId="23C31F6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0F977D52"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Op de lange termijn wordt het allemaal zo goed mogelijk benut (kost tijd) en bereikt de economie </w:t>
      </w:r>
      <w:r>
        <w:rPr>
          <w:rFonts w:ascii="Calibri" w:hAnsi="Calibri" w:cs="Calibri"/>
          <w:sz w:val="22"/>
          <w:szCs w:val="22"/>
          <w:u w:val="single"/>
        </w:rPr>
        <w:t>de maximaal haalbare productie</w:t>
      </w:r>
      <w:r>
        <w:rPr>
          <w:rFonts w:ascii="Calibri" w:hAnsi="Calibri" w:cs="Calibri"/>
          <w:sz w:val="22"/>
          <w:szCs w:val="22"/>
        </w:rPr>
        <w:t xml:space="preserve">: </w:t>
      </w:r>
      <w:r>
        <w:rPr>
          <w:rFonts w:ascii="Calibri" w:hAnsi="Calibri" w:cs="Calibri"/>
          <w:color w:val="ED7D31"/>
          <w:sz w:val="22"/>
          <w:szCs w:val="22"/>
        </w:rPr>
        <w:t>natuurlijke productieomvang</w:t>
      </w:r>
      <w:r>
        <w:rPr>
          <w:rFonts w:ascii="Calibri" w:hAnsi="Calibri" w:cs="Calibri"/>
          <w:sz w:val="22"/>
          <w:szCs w:val="22"/>
        </w:rPr>
        <w:t>.</w:t>
      </w:r>
    </w:p>
    <w:p w14:paraId="41AF654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00CDB20F"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u w:val="single"/>
        </w:rPr>
        <w:t>LTGA</w:t>
      </w:r>
      <w:r>
        <w:rPr>
          <w:rFonts w:ascii="Calibri" w:hAnsi="Calibri" w:cs="Calibri"/>
          <w:sz w:val="22"/>
          <w:szCs w:val="22"/>
          <w:u w:val="single"/>
        </w:rPr>
        <w:t xml:space="preserve"> (productieomvang) kan </w:t>
      </w:r>
      <w:r>
        <w:rPr>
          <w:rFonts w:ascii="Calibri" w:hAnsi="Calibri" w:cs="Calibri"/>
          <w:color w:val="ED7D31"/>
          <w:sz w:val="22"/>
          <w:szCs w:val="22"/>
          <w:u w:val="single"/>
        </w:rPr>
        <w:t>stijgen</w:t>
      </w:r>
      <w:r>
        <w:rPr>
          <w:rFonts w:ascii="Calibri" w:hAnsi="Calibri" w:cs="Calibri"/>
          <w:sz w:val="22"/>
          <w:szCs w:val="22"/>
          <w:u w:val="single"/>
        </w:rPr>
        <w:t xml:space="preserve"> door:</w:t>
      </w:r>
    </w:p>
    <w:p w14:paraId="6E34ABAF"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1. Toename productiefactoren</w:t>
      </w:r>
    </w:p>
    <w:p w14:paraId="75AB484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2. Verbeterde productietechniek (meer productie met dezelfde productiefactoren)</w:t>
      </w:r>
    </w:p>
    <w:p w14:paraId="47014408"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169BB835"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Langetermijngroeipad</w:t>
      </w:r>
      <w:r>
        <w:rPr>
          <w:rFonts w:ascii="Calibri" w:hAnsi="Calibri" w:cs="Calibri"/>
          <w:sz w:val="22"/>
          <w:szCs w:val="22"/>
        </w:rPr>
        <w:t>: opeenvolging van macro-economische evenwichten</w:t>
      </w:r>
    </w:p>
    <w:p w14:paraId="6EF67FCD"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Macro-economisch evenwicht: evenwicht in de hele economie op L-T (bepaalde P met Y - productie)</w:t>
      </w:r>
    </w:p>
    <w:p w14:paraId="0191BE4F"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Door uitbreiding productiefactoren of technologische ontwikkeling gaat LTGA dus naar rechts. </w:t>
      </w:r>
    </w:p>
    <w:p w14:paraId="4F3E804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lastRenderedPageBreak/>
        <w:t>Door toename productiviteit zal de beloning van arbeid ook toenemen, dus meer bestedingen, dus GV naar rechts.</w:t>
      </w:r>
    </w:p>
    <w:p w14:paraId="2BCC7B7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5EA853D9"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GV is K-T en L-T hetzelfde &gt; toename vraag zorgt op K-T nu </w:t>
      </w:r>
      <w:r>
        <w:rPr>
          <w:rFonts w:ascii="Calibri" w:hAnsi="Calibri" w:cs="Calibri"/>
          <w:sz w:val="22"/>
          <w:szCs w:val="22"/>
          <w:u w:val="single"/>
        </w:rPr>
        <w:t>niet</w:t>
      </w:r>
      <w:r>
        <w:rPr>
          <w:rFonts w:ascii="Calibri" w:hAnsi="Calibri" w:cs="Calibri"/>
          <w:sz w:val="22"/>
          <w:szCs w:val="22"/>
        </w:rPr>
        <w:t xml:space="preserve"> voor verandering prijs (L-T wel)</w:t>
      </w:r>
    </w:p>
    <w:p w14:paraId="7AA595B4"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Op de K-T is GA niet verticaal, maar juist horizontaal: prijzen zijn juist gelijk, maar productie kan juist verschillen.</w:t>
      </w:r>
    </w:p>
    <w:p w14:paraId="3D6D0D7B"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1BAB0186"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Dit komt doordat er op de korte termijn prijsrigiditeit/prijsstarheid is: prijzen passen zich niet zo snel aan. DOOR:</w:t>
      </w:r>
    </w:p>
    <w:p w14:paraId="0A66435B"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1. Sociale normen: aanbieders zijn bang dat klanten weggaan.</w:t>
      </w:r>
    </w:p>
    <w:p w14:paraId="1032AD17"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2. Productiekosten: kunnen niet snel worden aangepast (door contracten) en daardoor prijzen niet</w:t>
      </w:r>
    </w:p>
    <w:p w14:paraId="0326F339"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3. Moeilijk om te bepalen bij welke prijs maximale winst is.</w:t>
      </w:r>
    </w:p>
    <w:p w14:paraId="084D771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1EDEC61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Ook is er loonstarheid: lonen worden ook niet zo snel aangepast (liggen vast in CAO en er is een minimumloon)</w:t>
      </w:r>
    </w:p>
    <w:p w14:paraId="63612553"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20E1C3B9"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b/>
          <w:bCs/>
          <w:sz w:val="22"/>
          <w:szCs w:val="22"/>
        </w:rPr>
        <w:t>Hoofdstuk 3</w:t>
      </w:r>
    </w:p>
    <w:p w14:paraId="101E54D8"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Anticyclisch beleid</w:t>
      </w:r>
      <w:r>
        <w:rPr>
          <w:rFonts w:ascii="Calibri" w:hAnsi="Calibri" w:cs="Calibri"/>
          <w:sz w:val="22"/>
          <w:szCs w:val="22"/>
        </w:rPr>
        <w:t>: beleid van de overheid tegen de cyclus van de conjunctuurbeweging in. Hoogconjunctuur en laagconjunctuur beide nadeel.</w:t>
      </w:r>
    </w:p>
    <w:p w14:paraId="76A9A4A1"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651D9D3C"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In tijden van </w:t>
      </w:r>
      <w:r>
        <w:rPr>
          <w:rFonts w:ascii="Calibri" w:hAnsi="Calibri" w:cs="Calibri"/>
          <w:color w:val="ED7D31"/>
          <w:sz w:val="22"/>
          <w:szCs w:val="22"/>
        </w:rPr>
        <w:t>laagconjunctuur (groei onder de trend)</w:t>
      </w:r>
      <w:r>
        <w:rPr>
          <w:rFonts w:ascii="Calibri" w:hAnsi="Calibri" w:cs="Calibri"/>
          <w:sz w:val="22"/>
          <w:szCs w:val="22"/>
        </w:rPr>
        <w:t xml:space="preserve"> stimuleren door:</w:t>
      </w:r>
    </w:p>
    <w:p w14:paraId="3C26049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1. Belastingen verlagen</w:t>
      </w:r>
    </w:p>
    <w:p w14:paraId="198B60D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2. Overheidsbestedingen verhogen </w:t>
      </w:r>
    </w:p>
    <w:p w14:paraId="130DCF6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13D9581D"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In tijden van </w:t>
      </w:r>
      <w:r>
        <w:rPr>
          <w:rFonts w:ascii="Calibri" w:hAnsi="Calibri" w:cs="Calibri"/>
          <w:color w:val="ED7D31"/>
          <w:sz w:val="22"/>
          <w:szCs w:val="22"/>
        </w:rPr>
        <w:t>hoogconjunctuur (groei boven trend)</w:t>
      </w:r>
      <w:r>
        <w:rPr>
          <w:rFonts w:ascii="Calibri" w:hAnsi="Calibri" w:cs="Calibri"/>
          <w:sz w:val="22"/>
          <w:szCs w:val="22"/>
        </w:rPr>
        <w:t xml:space="preserve"> afremmen door:</w:t>
      </w:r>
    </w:p>
    <w:p w14:paraId="141619E5"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1. Belastingen verhogen</w:t>
      </w:r>
    </w:p>
    <w:p w14:paraId="2EEC130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2. Overheidsbestedingen verlagen</w:t>
      </w:r>
    </w:p>
    <w:p w14:paraId="31A1B24E"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234222DE"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Nadeel anticyclisch begrotingsbeleid:</w:t>
      </w:r>
    </w:p>
    <w:p w14:paraId="3B4071E5"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Het begrotingstekort van de overheid neemt toe, want in een laagconjunctuur verlagen ze de belastingen = </w:t>
      </w:r>
      <w:r>
        <w:rPr>
          <w:rFonts w:ascii="Calibri" w:hAnsi="Calibri" w:cs="Calibri"/>
          <w:color w:val="ED7D31"/>
          <w:sz w:val="22"/>
          <w:szCs w:val="22"/>
        </w:rPr>
        <w:t>minder inkomsten</w:t>
      </w:r>
      <w:r>
        <w:rPr>
          <w:rFonts w:ascii="Calibri" w:hAnsi="Calibri" w:cs="Calibri"/>
          <w:sz w:val="22"/>
          <w:szCs w:val="22"/>
        </w:rPr>
        <w:t xml:space="preserve">. En ze verhogen de overheidsuitgaven = </w:t>
      </w:r>
      <w:r>
        <w:rPr>
          <w:rFonts w:ascii="Calibri" w:hAnsi="Calibri" w:cs="Calibri"/>
          <w:color w:val="ED7D31"/>
          <w:sz w:val="22"/>
          <w:szCs w:val="22"/>
        </w:rPr>
        <w:t>meer uitgaven</w:t>
      </w:r>
    </w:p>
    <w:p w14:paraId="325E3077"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627609A3"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Conjunctuur kan ook worden verbeterd door het </w:t>
      </w:r>
      <w:r>
        <w:rPr>
          <w:rFonts w:ascii="Calibri" w:hAnsi="Calibri" w:cs="Calibri"/>
          <w:color w:val="ED7D31"/>
          <w:sz w:val="22"/>
          <w:szCs w:val="22"/>
        </w:rPr>
        <w:t>verbeteren van de internationale concurrentiepositie</w:t>
      </w:r>
      <w:r>
        <w:rPr>
          <w:rFonts w:ascii="Calibri" w:hAnsi="Calibri" w:cs="Calibri"/>
          <w:sz w:val="22"/>
          <w:szCs w:val="22"/>
        </w:rPr>
        <w:t xml:space="preserve">: mate waarin bedrijven in staat zijn om te concurreren met het buitenland. </w:t>
      </w:r>
    </w:p>
    <w:p w14:paraId="655CAC32"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2F46EF47"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3 manieren om het te verbeteren:</w:t>
      </w:r>
    </w:p>
    <w:p w14:paraId="4F564CF6"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1. loonmatiging</w:t>
      </w:r>
    </w:p>
    <w:p w14:paraId="3CD34EDC"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2. investeren in scholing zodat arbeidsproductiviteit stijgt</w:t>
      </w:r>
    </w:p>
    <w:p w14:paraId="1185316E"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3. in hand houden van inflatie</w:t>
      </w:r>
    </w:p>
    <w:p w14:paraId="3DC604D4"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70B417DF"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Automatische stabilisatoren</w:t>
      </w:r>
      <w:r>
        <w:rPr>
          <w:rFonts w:ascii="Calibri" w:hAnsi="Calibri" w:cs="Calibri"/>
          <w:sz w:val="22"/>
          <w:szCs w:val="22"/>
        </w:rPr>
        <w:t>: mechanismen in de economie die de conjunctuurbeweging automatisch afvlakken.</w:t>
      </w:r>
    </w:p>
    <w:p w14:paraId="4804C491"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Zonder een anticyclisch beleid werken ze toch anticyclisch. </w:t>
      </w:r>
    </w:p>
    <w:p w14:paraId="79F5C092" w14:textId="77777777" w:rsidR="002F1AF0" w:rsidRDefault="002F1AF0" w:rsidP="002F1AF0">
      <w:pPr>
        <w:pStyle w:val="Normaalweb"/>
        <w:spacing w:before="0" w:beforeAutospacing="0" w:after="0" w:afterAutospacing="0"/>
        <w:rPr>
          <w:rFonts w:ascii="Calibri" w:hAnsi="Calibri" w:cs="Calibri"/>
          <w:color w:val="ED7D31"/>
          <w:sz w:val="22"/>
          <w:szCs w:val="22"/>
        </w:rPr>
      </w:pPr>
      <w:r>
        <w:rPr>
          <w:rFonts w:ascii="Calibri" w:hAnsi="Calibri" w:cs="Calibri"/>
          <w:color w:val="ED7D31"/>
          <w:sz w:val="22"/>
          <w:szCs w:val="22"/>
        </w:rPr>
        <w:t>1. sociale uitkeringen</w:t>
      </w:r>
    </w:p>
    <w:p w14:paraId="63E98F55"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Laagconjunctuur &gt; mensen die werkloos worden ontvangen een uitkering &gt; vraag blijft toch deels op peil</w:t>
      </w:r>
    </w:p>
    <w:p w14:paraId="122C981B" w14:textId="77777777" w:rsidR="002F1AF0" w:rsidRDefault="002F1AF0" w:rsidP="002F1AF0">
      <w:pPr>
        <w:pStyle w:val="Normaalweb"/>
        <w:spacing w:before="0" w:beforeAutospacing="0" w:after="0" w:afterAutospacing="0"/>
        <w:rPr>
          <w:rFonts w:ascii="Calibri" w:hAnsi="Calibri" w:cs="Calibri"/>
          <w:color w:val="ED7D31"/>
          <w:sz w:val="22"/>
          <w:szCs w:val="22"/>
        </w:rPr>
      </w:pPr>
      <w:r>
        <w:rPr>
          <w:rFonts w:ascii="Calibri" w:hAnsi="Calibri" w:cs="Calibri"/>
          <w:color w:val="ED7D31"/>
          <w:sz w:val="22"/>
          <w:szCs w:val="22"/>
        </w:rPr>
        <w:t>2. progressieve belastingen</w:t>
      </w:r>
    </w:p>
    <w:p w14:paraId="53D410AF"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Hoogconjunctuur &gt; weinig werklozen en veel winst bedrijven &gt; gemiddeld belastingpercentage stijgt &gt; consumptie daalt</w:t>
      </w:r>
    </w:p>
    <w:p w14:paraId="0990F15B"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Laagconjunctuur &gt; veel werklozen en weinig winst bedrijven &gt; gemiddeld belastingpercentage daalt &gt; consumptie op peil</w:t>
      </w:r>
    </w:p>
    <w:p w14:paraId="1887D321"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2DBB4CC4" w14:textId="77777777" w:rsidR="002F1AF0" w:rsidRDefault="002F1AF0" w:rsidP="002F1AF0">
      <w:pPr>
        <w:pStyle w:val="Normaalweb"/>
        <w:spacing w:before="0" w:beforeAutospacing="0" w:after="0" w:afterAutospacing="0"/>
        <w:rPr>
          <w:rFonts w:ascii="Calibri" w:hAnsi="Calibri" w:cs="Calibri"/>
          <w:color w:val="ED7D31"/>
          <w:sz w:val="22"/>
          <w:szCs w:val="22"/>
        </w:rPr>
      </w:pPr>
      <w:r>
        <w:rPr>
          <w:rFonts w:ascii="Calibri" w:hAnsi="Calibri" w:cs="Calibri"/>
          <w:color w:val="ED7D31"/>
          <w:sz w:val="22"/>
          <w:szCs w:val="22"/>
        </w:rPr>
        <w:lastRenderedPageBreak/>
        <w:t>Centrale bank:</w:t>
      </w:r>
    </w:p>
    <w:p w14:paraId="057CC264"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1.</w:t>
      </w:r>
      <w:r>
        <w:rPr>
          <w:rFonts w:ascii="Calibri" w:hAnsi="Calibri" w:cs="Calibri"/>
          <w:sz w:val="22"/>
          <w:szCs w:val="22"/>
        </w:rPr>
        <w:t xml:space="preserve"> Toezicht houden op</w:t>
      </w:r>
      <w:r>
        <w:rPr>
          <w:rFonts w:ascii="Calibri" w:hAnsi="Calibri" w:cs="Calibri"/>
          <w:color w:val="ED7D31"/>
          <w:sz w:val="22"/>
          <w:szCs w:val="22"/>
        </w:rPr>
        <w:t xml:space="preserve"> monetaire infrastructuur</w:t>
      </w:r>
      <w:r>
        <w:rPr>
          <w:rFonts w:ascii="Calibri" w:hAnsi="Calibri" w:cs="Calibri"/>
          <w:sz w:val="22"/>
          <w:szCs w:val="22"/>
        </w:rPr>
        <w:t xml:space="preserve"> (op betalingssystemen en kwaliteit bankbiljetten)</w:t>
      </w:r>
    </w:p>
    <w:p w14:paraId="1E3A18DF"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2.</w:t>
      </w:r>
      <w:r>
        <w:rPr>
          <w:rFonts w:ascii="Calibri" w:hAnsi="Calibri" w:cs="Calibri"/>
          <w:sz w:val="22"/>
          <w:szCs w:val="22"/>
        </w:rPr>
        <w:t xml:space="preserve"> Toezicht houden op </w:t>
      </w:r>
      <w:r>
        <w:rPr>
          <w:rFonts w:ascii="Calibri" w:hAnsi="Calibri" w:cs="Calibri"/>
          <w:color w:val="ED7D31"/>
          <w:sz w:val="22"/>
          <w:szCs w:val="22"/>
        </w:rPr>
        <w:t>aanbieders van financiële producten</w:t>
      </w:r>
      <w:r>
        <w:rPr>
          <w:rFonts w:ascii="Calibri" w:hAnsi="Calibri" w:cs="Calibri"/>
          <w:sz w:val="22"/>
          <w:szCs w:val="22"/>
        </w:rPr>
        <w:t xml:space="preserve"> (banken moeten een bankvergunning krijgen en goedkeuring) (</w:t>
      </w:r>
      <w:r>
        <w:rPr>
          <w:rFonts w:ascii="Calibri" w:hAnsi="Calibri" w:cs="Calibri"/>
          <w:color w:val="ED7D31"/>
          <w:sz w:val="22"/>
          <w:szCs w:val="22"/>
        </w:rPr>
        <w:t>depositogarantiestelsel</w:t>
      </w:r>
      <w:r>
        <w:rPr>
          <w:rFonts w:ascii="Calibri" w:hAnsi="Calibri" w:cs="Calibri"/>
          <w:sz w:val="22"/>
          <w:szCs w:val="22"/>
        </w:rPr>
        <w:t>: spaargelden tot maximumbedrag van 100.000 euro -in Nederland- worden gegarandeerd bij faillissement banken.)</w:t>
      </w:r>
    </w:p>
    <w:p w14:paraId="35D8F2BD"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3. Bewaker van de interne waarde van de munt (= reële waarde = koopkracht munt) </w:t>
      </w:r>
    </w:p>
    <w:p w14:paraId="5EE4FA53"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11642ECD"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HOOFDZAAK CENTRALE BANK = zorgen voor prijsstabiliteit (+/- 2% inflatie per jaar)</w:t>
      </w:r>
    </w:p>
    <w:p w14:paraId="4B64307C"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Door beïnvloeden van reporente</w:t>
      </w:r>
    </w:p>
    <w:p w14:paraId="5DA4DFDC"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Door beïnvloeden maatschappelijke geldhoeveelheid (chartaal en giraal geld bij gezinnen en bedrijven)</w:t>
      </w:r>
    </w:p>
    <w:p w14:paraId="192CDA75"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68C584AE" w14:textId="77777777" w:rsidR="002F1AF0" w:rsidRDefault="002F1AF0" w:rsidP="002F1AF0">
      <w:pPr>
        <w:pStyle w:val="Normaalweb"/>
        <w:spacing w:before="0" w:beforeAutospacing="0" w:after="0" w:afterAutospacing="0"/>
        <w:rPr>
          <w:rFonts w:ascii="Calibri" w:hAnsi="Calibri" w:cs="Calibri"/>
          <w:color w:val="ED7D31"/>
          <w:sz w:val="22"/>
          <w:szCs w:val="22"/>
        </w:rPr>
      </w:pPr>
      <w:r>
        <w:rPr>
          <w:rFonts w:ascii="Calibri" w:hAnsi="Calibri" w:cs="Calibri"/>
          <w:color w:val="ED7D31"/>
          <w:sz w:val="22"/>
          <w:szCs w:val="22"/>
        </w:rPr>
        <w:t>Centrale bank - invloed op economische groei (Monetair beleid)</w:t>
      </w:r>
    </w:p>
    <w:p w14:paraId="7C8000AB"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55A68AD1"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Manier 1: </w:t>
      </w:r>
      <w:r>
        <w:rPr>
          <w:rFonts w:ascii="Calibri" w:hAnsi="Calibri" w:cs="Calibri"/>
          <w:color w:val="ED7D31"/>
          <w:sz w:val="22"/>
          <w:szCs w:val="22"/>
        </w:rPr>
        <w:t>Rentebeleid</w:t>
      </w:r>
    </w:p>
    <w:p w14:paraId="712866F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color w:val="ED7D31"/>
          <w:sz w:val="22"/>
          <w:szCs w:val="22"/>
        </w:rPr>
        <w:t>Reporente</w:t>
      </w:r>
      <w:r>
        <w:rPr>
          <w:rFonts w:ascii="Calibri" w:hAnsi="Calibri" w:cs="Calibri"/>
          <w:sz w:val="22"/>
          <w:szCs w:val="22"/>
        </w:rPr>
        <w:t>: rente waartegen handelsbanken geld kunnen lenen bij de centrale bank</w:t>
      </w:r>
    </w:p>
    <w:p w14:paraId="3601FE6C"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Laagconjunctuur &gt; reporente verlagen &gt; rente banken daalt &gt; sparen onaantrekkelijk en lenen aantrekkelijk &gt; bestedingen stijgen (hoogconjunctuur andersom)</w:t>
      </w:r>
    </w:p>
    <w:p w14:paraId="058A4B2E"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2572E44D"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Manier 2: Beïnvloeden maatschappelijke geldhoeveelheid (Verkeersvergelijking van Fisher)</w:t>
      </w:r>
    </w:p>
    <w:p w14:paraId="43AD277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V = (P x T) / M</w:t>
      </w:r>
    </w:p>
    <w:p w14:paraId="64D0546D"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M = maatschappelijke geldhoeveelheid</w:t>
      </w:r>
    </w:p>
    <w:p w14:paraId="2743C306"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T = aantal transacties</w:t>
      </w:r>
    </w:p>
    <w:p w14:paraId="6D9D8675"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V = omloopsnelheid van geld (constant)</w:t>
      </w:r>
    </w:p>
    <w:p w14:paraId="4F3C2912"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V is constant, dus als M stijgt moet P en/of T stijgen, dat hangt af van de termijn.</w:t>
      </w:r>
    </w:p>
    <w:p w14:paraId="5200670A"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747DB9C1" w14:textId="77777777" w:rsidR="002F1AF0" w:rsidRDefault="002F1AF0" w:rsidP="002F1AF0">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 x V = P x T</w:t>
      </w:r>
    </w:p>
    <w:p w14:paraId="164C1A20"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092FE98"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223DACD7"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Als centrale bank de maatschappelijke geldhoeveelheid (M) verhoogt: </w:t>
      </w:r>
      <w:r>
        <w:rPr>
          <w:rFonts w:ascii="Calibri" w:hAnsi="Calibri" w:cs="Calibri"/>
          <w:color w:val="ED7D31"/>
          <w:sz w:val="22"/>
          <w:szCs w:val="22"/>
        </w:rPr>
        <w:t>monetaire expansie</w:t>
      </w:r>
    </w:p>
    <w:p w14:paraId="331C809C" w14:textId="77777777" w:rsidR="002F1AF0" w:rsidRDefault="002F1AF0" w:rsidP="002F1AF0">
      <w:pPr>
        <w:pStyle w:val="Normaalweb"/>
        <w:spacing w:before="0" w:beforeAutospacing="0" w:after="0" w:afterAutospacing="0"/>
        <w:rPr>
          <w:rFonts w:ascii="Calibri" w:hAnsi="Calibri" w:cs="Calibri"/>
          <w:color w:val="ED7D31"/>
          <w:sz w:val="22"/>
          <w:szCs w:val="22"/>
        </w:rPr>
      </w:pPr>
      <w:r>
        <w:rPr>
          <w:rFonts w:ascii="Calibri" w:hAnsi="Calibri" w:cs="Calibri"/>
          <w:color w:val="ED7D31"/>
          <w:sz w:val="22"/>
          <w:szCs w:val="22"/>
        </w:rPr>
        <w:t xml:space="preserve">Korte termijneffect: </w:t>
      </w:r>
    </w:p>
    <w:p w14:paraId="677EB11B"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Op de korte termijn zorgt een stijging van M voor een stijging van T (P is constant/rigide op korte termijn)</w:t>
      </w:r>
    </w:p>
    <w:p w14:paraId="025D457F"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Als er meer transacties zijn/een groter handelsvolume is (T), moet de economie ook meer hebben geproduceerd: productieomvang (Y) is gestegen.</w:t>
      </w:r>
    </w:p>
    <w:p w14:paraId="4F3FCB7D"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5D6E56A6" w14:textId="77777777" w:rsidR="002F1AF0" w:rsidRDefault="002F1AF0" w:rsidP="002F1AF0">
      <w:pPr>
        <w:pStyle w:val="Normaalweb"/>
        <w:spacing w:before="0" w:beforeAutospacing="0" w:after="0" w:afterAutospacing="0"/>
        <w:rPr>
          <w:rFonts w:ascii="Calibri" w:hAnsi="Calibri" w:cs="Calibri"/>
          <w:color w:val="ED7D31"/>
          <w:sz w:val="22"/>
          <w:szCs w:val="22"/>
        </w:rPr>
      </w:pPr>
      <w:r>
        <w:rPr>
          <w:rFonts w:ascii="Calibri" w:hAnsi="Calibri" w:cs="Calibri"/>
          <w:color w:val="ED7D31"/>
          <w:sz w:val="22"/>
          <w:szCs w:val="22"/>
        </w:rPr>
        <w:t>Lange termijneffect:</w:t>
      </w:r>
    </w:p>
    <w:p w14:paraId="6CFEFFC9" w14:textId="77777777" w:rsidR="002F1AF0" w:rsidRDefault="002F1AF0" w:rsidP="002F1AF0">
      <w:pPr>
        <w:pStyle w:val="Normaalweb"/>
        <w:spacing w:before="0" w:beforeAutospacing="0" w:after="0" w:afterAutospacing="0"/>
        <w:rPr>
          <w:rFonts w:ascii="Calibri" w:hAnsi="Calibri" w:cs="Calibri"/>
          <w:sz w:val="22"/>
          <w:szCs w:val="22"/>
        </w:rPr>
      </w:pPr>
      <w:r>
        <w:rPr>
          <w:rFonts w:ascii="Calibri" w:hAnsi="Calibri" w:cs="Calibri"/>
          <w:sz w:val="22"/>
          <w:szCs w:val="22"/>
        </w:rPr>
        <w:t>Op de lange termijn zorgt een stijging van M wel voor een stijging van de prijzen (P) (dus inflatie) en juist niet voor een toename van het aantal transacties (T) en dus productieomvang (Y), want die is op het langetermijngroeipad.</w:t>
      </w:r>
    </w:p>
    <w:p w14:paraId="0A344D83" w14:textId="77777777" w:rsidR="002F1AF0" w:rsidRDefault="002F1AF0"/>
    <w:sectPr w:rsidR="002F1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F0"/>
    <w:rsid w:val="002043A9"/>
    <w:rsid w:val="002F1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DF6A"/>
  <w15:chartTrackingRefBased/>
  <w15:docId w15:val="{6FA1CC31-D9B7-4DF6-90D9-1AFA15B3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1A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1013</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snoek</dc:creator>
  <cp:keywords/>
  <dc:description/>
  <cp:lastModifiedBy>bente snoek</cp:lastModifiedBy>
  <cp:revision>1</cp:revision>
  <dcterms:created xsi:type="dcterms:W3CDTF">2022-01-28T10:24:00Z</dcterms:created>
  <dcterms:modified xsi:type="dcterms:W3CDTF">2022-01-29T12:55:00Z</dcterms:modified>
</cp:coreProperties>
</file>