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CD51" w14:textId="0FFACA0C" w:rsidR="00DB2FF9" w:rsidRDefault="00FC4BBE" w:rsidP="00FC4BBE">
      <w:pPr>
        <w:pStyle w:val="Kop1"/>
      </w:pPr>
      <w:r>
        <w:t>Conjunctuur en economisch beleid</w:t>
      </w:r>
    </w:p>
    <w:p w14:paraId="2325F372" w14:textId="01F92207" w:rsidR="00FC4BBE" w:rsidRDefault="00FC4BBE" w:rsidP="00FC4BBE"/>
    <w:p w14:paraId="4D9B1034" w14:textId="1E3C2D3F" w:rsidR="00FC4BBE" w:rsidRDefault="00FC4BBE" w:rsidP="00FC4BBE">
      <w:pPr>
        <w:rPr>
          <w:sz w:val="24"/>
        </w:rPr>
      </w:pPr>
      <w:r>
        <w:rPr>
          <w:sz w:val="24"/>
        </w:rPr>
        <w:t>conjunctuurlijn: geeft economische groei (verandering bbp / EV)</w:t>
      </w:r>
    </w:p>
    <w:p w14:paraId="41AD865C" w14:textId="712A15A9" w:rsidR="00FC4BBE" w:rsidRDefault="00FC4BBE" w:rsidP="00FC4BBE">
      <w:pPr>
        <w:rPr>
          <w:sz w:val="24"/>
        </w:rPr>
      </w:pPr>
      <w:r>
        <w:rPr>
          <w:sz w:val="24"/>
        </w:rPr>
        <w:t xml:space="preserve">trendmatige groei / </w:t>
      </w:r>
      <w:proofErr w:type="spellStart"/>
      <w:r>
        <w:rPr>
          <w:sz w:val="24"/>
        </w:rPr>
        <w:t>langetermijngroeipad</w:t>
      </w:r>
      <w:proofErr w:type="spellEnd"/>
      <w:r>
        <w:rPr>
          <w:sz w:val="24"/>
        </w:rPr>
        <w:t xml:space="preserve">: gemiddelde </w:t>
      </w:r>
      <w:proofErr w:type="gramStart"/>
      <w:r>
        <w:rPr>
          <w:sz w:val="24"/>
        </w:rPr>
        <w:t>groei economie</w:t>
      </w:r>
      <w:proofErr w:type="gramEnd"/>
      <w:r>
        <w:rPr>
          <w:sz w:val="24"/>
        </w:rPr>
        <w:t xml:space="preserve"> op lange termijn</w:t>
      </w:r>
    </w:p>
    <w:p w14:paraId="768DD859" w14:textId="58AEDA7D" w:rsidR="00FC4BBE" w:rsidRDefault="00FC4BBE" w:rsidP="00FC4BBE">
      <w:pPr>
        <w:rPr>
          <w:sz w:val="24"/>
        </w:rPr>
      </w:pPr>
      <w:r>
        <w:rPr>
          <w:sz w:val="24"/>
        </w:rPr>
        <w:t>EV &gt; trend: hoogconjunctuur</w:t>
      </w:r>
    </w:p>
    <w:p w14:paraId="4700E0BA" w14:textId="582EA8E3" w:rsidR="00FC4BBE" w:rsidRDefault="00FC4BBE" w:rsidP="00FC4BBE">
      <w:pPr>
        <w:rPr>
          <w:sz w:val="24"/>
        </w:rPr>
      </w:pPr>
      <w:r>
        <w:rPr>
          <w:sz w:val="24"/>
        </w:rPr>
        <w:t>EV &lt; trend: laagconjunctuur</w:t>
      </w:r>
    </w:p>
    <w:p w14:paraId="1111EA94" w14:textId="01CF68F8" w:rsidR="00FC4BBE" w:rsidRPr="003B03DE" w:rsidRDefault="00FC4BBE" w:rsidP="00FC4BBE">
      <w:pPr>
        <w:rPr>
          <w:sz w:val="24"/>
        </w:rPr>
      </w:pPr>
      <w:r w:rsidRPr="003B03DE">
        <w:rPr>
          <w:sz w:val="24"/>
        </w:rPr>
        <w:t>EV = C + I + O + E – M</w:t>
      </w:r>
    </w:p>
    <w:p w14:paraId="1985306F" w14:textId="457AC0EF" w:rsidR="00FC4BBE" w:rsidRDefault="00FC4BBE" w:rsidP="00FC4BBE">
      <w:pPr>
        <w:rPr>
          <w:sz w:val="24"/>
        </w:rPr>
      </w:pPr>
      <w:r w:rsidRPr="00FC4BBE">
        <w:rPr>
          <w:sz w:val="24"/>
        </w:rPr>
        <w:t>economische recessie: economie krimpt twee k</w:t>
      </w:r>
      <w:r>
        <w:rPr>
          <w:sz w:val="24"/>
        </w:rPr>
        <w:t>wartalen achter elkaar</w:t>
      </w:r>
    </w:p>
    <w:p w14:paraId="50DF6AFB" w14:textId="11486678" w:rsidR="00FC4BBE" w:rsidRDefault="00FC4BBE" w:rsidP="00FC4BBE">
      <w:pPr>
        <w:rPr>
          <w:sz w:val="24"/>
        </w:rPr>
      </w:pPr>
      <w:r>
        <w:rPr>
          <w:sz w:val="24"/>
        </w:rPr>
        <w:t>economische depressie: langdurige recessie</w:t>
      </w:r>
    </w:p>
    <w:p w14:paraId="218FD4AD" w14:textId="7BE258D2" w:rsidR="00FC4BBE" w:rsidRDefault="00FC4BBE" w:rsidP="00FC4BBE">
      <w:pPr>
        <w:rPr>
          <w:sz w:val="24"/>
        </w:rPr>
      </w:pPr>
      <w:r>
        <w:rPr>
          <w:sz w:val="24"/>
        </w:rPr>
        <w:t>EV &gt; productiecapaciteit: overbesteding</w:t>
      </w:r>
    </w:p>
    <w:p w14:paraId="35767B5B" w14:textId="284C95C9" w:rsidR="00FC4BBE" w:rsidRDefault="00FC4BBE" w:rsidP="00FC4BBE">
      <w:pPr>
        <w:rPr>
          <w:sz w:val="24"/>
        </w:rPr>
      </w:pPr>
      <w:r>
        <w:rPr>
          <w:sz w:val="24"/>
        </w:rPr>
        <w:t>EV &lt; productiecapaciteit: onderbesteding</w:t>
      </w:r>
    </w:p>
    <w:p w14:paraId="1D1B1690" w14:textId="047888AE" w:rsidR="00FC4BBE" w:rsidRDefault="00FC4BBE" w:rsidP="00FC4BBE">
      <w:pPr>
        <w:rPr>
          <w:sz w:val="24"/>
        </w:rPr>
      </w:pPr>
      <w:r>
        <w:rPr>
          <w:sz w:val="24"/>
        </w:rPr>
        <w:t>conjunctuurindicator: variabele waarvan de waarde eerder bekend is dan het bbp</w:t>
      </w:r>
    </w:p>
    <w:p w14:paraId="017B5930" w14:textId="03BDDE60" w:rsidR="00FC4BBE" w:rsidRDefault="00FC4BBE" w:rsidP="00FC4BB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0E6BA" wp14:editId="2AEA90B3">
            <wp:simplePos x="0" y="0"/>
            <wp:positionH relativeFrom="column">
              <wp:posOffset>1719580</wp:posOffset>
            </wp:positionH>
            <wp:positionV relativeFrom="paragraph">
              <wp:posOffset>9525</wp:posOffset>
            </wp:positionV>
            <wp:extent cx="2200275" cy="2134870"/>
            <wp:effectExtent l="0" t="0" r="9525" b="0"/>
            <wp:wrapThrough wrapText="bothSides">
              <wp:wrapPolygon edited="0">
                <wp:start x="0" y="0"/>
                <wp:lineTo x="0" y="21394"/>
                <wp:lineTo x="21506" y="21394"/>
                <wp:lineTo x="2150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1" t="45267" r="44280" b="25926"/>
                    <a:stretch/>
                  </pic:blipFill>
                  <pic:spPr bwMode="auto">
                    <a:xfrm>
                      <a:off x="0" y="0"/>
                      <a:ext cx="2200275" cy="213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conjunctuurklok: </w:t>
      </w:r>
    </w:p>
    <w:p w14:paraId="2608B6F5" w14:textId="375FA3AE" w:rsidR="00FC4BBE" w:rsidRDefault="00FC4BBE" w:rsidP="00FC4BBE">
      <w:pPr>
        <w:rPr>
          <w:sz w:val="24"/>
        </w:rPr>
      </w:pPr>
    </w:p>
    <w:p w14:paraId="6B171968" w14:textId="7036AAC2" w:rsidR="00FC4BBE" w:rsidRDefault="00FC4BBE" w:rsidP="00FC4BBE">
      <w:pPr>
        <w:rPr>
          <w:sz w:val="24"/>
        </w:rPr>
      </w:pPr>
    </w:p>
    <w:p w14:paraId="7C41B79A" w14:textId="002D9B24" w:rsidR="00FC4BBE" w:rsidRDefault="00FC4BBE" w:rsidP="00FC4BBE">
      <w:pPr>
        <w:rPr>
          <w:sz w:val="24"/>
        </w:rPr>
      </w:pPr>
    </w:p>
    <w:p w14:paraId="70A561DB" w14:textId="13A80E17" w:rsidR="00FC4BBE" w:rsidRDefault="00FC4BBE" w:rsidP="00FC4BBE">
      <w:pPr>
        <w:rPr>
          <w:sz w:val="24"/>
        </w:rPr>
      </w:pPr>
    </w:p>
    <w:p w14:paraId="31315010" w14:textId="4BD94922" w:rsidR="00FC4BBE" w:rsidRDefault="00FC4BBE" w:rsidP="00FC4BBE">
      <w:pPr>
        <w:rPr>
          <w:sz w:val="24"/>
        </w:rPr>
      </w:pPr>
    </w:p>
    <w:p w14:paraId="69D77697" w14:textId="09ED6583" w:rsidR="00FC4BBE" w:rsidRDefault="00FC4BBE" w:rsidP="00FC4BBE">
      <w:pPr>
        <w:rPr>
          <w:sz w:val="24"/>
        </w:rPr>
      </w:pPr>
    </w:p>
    <w:p w14:paraId="735C0038" w14:textId="2B8155F0" w:rsidR="00FC4BBE" w:rsidRDefault="00FC4BBE" w:rsidP="00FC4BBE">
      <w:pPr>
        <w:rPr>
          <w:sz w:val="24"/>
        </w:rPr>
      </w:pPr>
    </w:p>
    <w:p w14:paraId="1BCA99C1" w14:textId="560B7AB6" w:rsidR="00FC4BBE" w:rsidRDefault="00FC4BBE" w:rsidP="00FC4BBE">
      <w:pPr>
        <w:rPr>
          <w:sz w:val="24"/>
        </w:rPr>
      </w:pPr>
      <w:r>
        <w:rPr>
          <w:sz w:val="24"/>
        </w:rPr>
        <w:t>procyclische conjunctuurbeweging: hetzelfde patroon als conjunctuurlijn (inflatie, consumenten- en producentenvertrouwen)</w:t>
      </w:r>
    </w:p>
    <w:p w14:paraId="116F8D88" w14:textId="3F2C4D1B" w:rsidR="00FC4BBE" w:rsidRDefault="00FC4BBE" w:rsidP="00FC4BBE">
      <w:pPr>
        <w:rPr>
          <w:sz w:val="24"/>
        </w:rPr>
      </w:pPr>
      <w:r>
        <w:rPr>
          <w:sz w:val="24"/>
        </w:rPr>
        <w:t>anticyclische conjunctuurbeweging: tegengesteld aan conjunctuurlijn (werkloosheid)</w:t>
      </w:r>
    </w:p>
    <w:p w14:paraId="2196E3BF" w14:textId="3BBB7E68" w:rsidR="00FC4BBE" w:rsidRDefault="00FC4BBE" w:rsidP="00FC4BBE">
      <w:pPr>
        <w:rPr>
          <w:sz w:val="24"/>
        </w:rPr>
      </w:pPr>
      <w:r>
        <w:rPr>
          <w:sz w:val="24"/>
        </w:rPr>
        <w:t>Laagconjunctuur leidt tot werkloosheid:</w:t>
      </w:r>
    </w:p>
    <w:p w14:paraId="22ED242A" w14:textId="3DE6640C" w:rsidR="00FC4BBE" w:rsidRDefault="00FC4BBE" w:rsidP="00FC4BB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Overheidsuitgaven stijgen (uitkeringen)</w:t>
      </w:r>
    </w:p>
    <w:p w14:paraId="4A98EEA9" w14:textId="56E220A8" w:rsidR="00FC4BBE" w:rsidRDefault="00FC4BBE" w:rsidP="00FC4BB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Overheidsinkomsten dalen (btw, inkomstenbelasting)</w:t>
      </w:r>
    </w:p>
    <w:p w14:paraId="3C0B9EEE" w14:textId="68064E0C" w:rsidR="00FC4BBE" w:rsidRDefault="00FC4BBE" w:rsidP="00FC4BBE">
      <w:pPr>
        <w:rPr>
          <w:sz w:val="24"/>
        </w:rPr>
      </w:pPr>
    </w:p>
    <w:p w14:paraId="54ED003E" w14:textId="17B9E795" w:rsidR="00FC4BBE" w:rsidRDefault="00FC4BBE" w:rsidP="00FC4BBE">
      <w:pPr>
        <w:rPr>
          <w:sz w:val="24"/>
        </w:rPr>
      </w:pPr>
      <w:r>
        <w:rPr>
          <w:sz w:val="24"/>
        </w:rPr>
        <w:t>Waardevast: stijgt mee met inflatie (gelijke koopkracht)</w:t>
      </w:r>
    </w:p>
    <w:p w14:paraId="51F5F7C6" w14:textId="6DADC253" w:rsidR="00FC4BBE" w:rsidRDefault="00FC4BBE" w:rsidP="00FC4BBE">
      <w:pPr>
        <w:rPr>
          <w:sz w:val="24"/>
        </w:rPr>
      </w:pPr>
      <w:r>
        <w:rPr>
          <w:sz w:val="24"/>
        </w:rPr>
        <w:t>Welvaartsvast: stijgt mee met lonen</w:t>
      </w:r>
    </w:p>
    <w:p w14:paraId="3E04D021" w14:textId="59B16411" w:rsidR="00FC4BBE" w:rsidRDefault="00FC4BBE" w:rsidP="00FC4BBE">
      <w:pPr>
        <w:rPr>
          <w:sz w:val="24"/>
        </w:rPr>
      </w:pPr>
    </w:p>
    <w:p w14:paraId="0558D777" w14:textId="5406BB29" w:rsidR="00FC4BBE" w:rsidRDefault="00FC4BBE" w:rsidP="00FC4BBE">
      <w:pPr>
        <w:rPr>
          <w:sz w:val="24"/>
        </w:rPr>
      </w:pPr>
      <w:r>
        <w:rPr>
          <w:sz w:val="24"/>
        </w:rPr>
        <w:lastRenderedPageBreak/>
        <w:t>Op korte termijn is er prijsrigiditeit/prijsstarheid: prijzen veranderen niet.</w:t>
      </w:r>
    </w:p>
    <w:p w14:paraId="2146F262" w14:textId="402C3A24" w:rsidR="00FC4BBE" w:rsidRDefault="00FC4BBE" w:rsidP="00FC4BBE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Veel bedrijven zijn prijszetters (volkomen concurrentie komt niet vaak voor)</w:t>
      </w:r>
    </w:p>
    <w:p w14:paraId="7BBF5542" w14:textId="01049C24" w:rsidR="00FC4BBE" w:rsidRDefault="00FC4BBE" w:rsidP="00FC4BBE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Productiekosten liggen vast (contracten, loonstarheid door cao’s en vakbonden)</w:t>
      </w:r>
    </w:p>
    <w:p w14:paraId="28E6CFF2" w14:textId="7E8A221E" w:rsidR="00FC4BBE" w:rsidRDefault="00FC4BBE" w:rsidP="00FC4BBE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Menukosten (nieuwe prijskaartjes)</w:t>
      </w:r>
    </w:p>
    <w:p w14:paraId="144BC3C0" w14:textId="7336E287" w:rsidR="00FC4BBE" w:rsidRDefault="00FC4BBE" w:rsidP="00FC4BBE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Geldillusie: mensen denken in nominale i.p.v. reële prijzen</w:t>
      </w:r>
    </w:p>
    <w:p w14:paraId="1B9D3913" w14:textId="5E51F804" w:rsidR="00FC4BBE" w:rsidRDefault="00FC4BBE" w:rsidP="00FC4BBE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Aanbieders passen prijs pas aan als ze dat goed kunnen onderbouwen</w:t>
      </w:r>
    </w:p>
    <w:p w14:paraId="09A49F4D" w14:textId="1249B26E" w:rsidR="00FC4BBE" w:rsidRDefault="00FC4BBE" w:rsidP="00FC4BBE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Moeilijk om te bepalen welke prijs de winst maximaliseert</w:t>
      </w:r>
    </w:p>
    <w:p w14:paraId="304EE8E0" w14:textId="001FD9AC" w:rsidR="00FC4BBE" w:rsidRDefault="00FC4BBE" w:rsidP="00FC4BBE">
      <w:pPr>
        <w:rPr>
          <w:sz w:val="24"/>
        </w:rPr>
      </w:pPr>
      <w:r>
        <w:rPr>
          <w:sz w:val="24"/>
        </w:rPr>
        <w:t>Door prijsrigiditeit loopt KTGA horizontaal.</w:t>
      </w:r>
    </w:p>
    <w:p w14:paraId="60EE5853" w14:textId="21CE63A8" w:rsidR="00FC4BBE" w:rsidRDefault="00FC4BBE" w:rsidP="00FC4BBE">
      <w:pPr>
        <w:rPr>
          <w:sz w:val="24"/>
        </w:rPr>
      </w:pPr>
      <w:r>
        <w:rPr>
          <w:sz w:val="24"/>
        </w:rPr>
        <w:t>Op lange termijn word</w:t>
      </w:r>
      <w:r w:rsidR="00B11D51">
        <w:rPr>
          <w:sz w:val="24"/>
        </w:rPr>
        <w:t>t</w:t>
      </w:r>
      <w:r>
        <w:rPr>
          <w:sz w:val="24"/>
        </w:rPr>
        <w:t xml:space="preserve"> de n</w:t>
      </w:r>
      <w:r w:rsidR="00B11D51">
        <w:rPr>
          <w:sz w:val="24"/>
        </w:rPr>
        <w:t>atuurlijke productieomvang (maximaal haalbare productieomvang) bereikt.</w:t>
      </w:r>
    </w:p>
    <w:p w14:paraId="05D1E4EC" w14:textId="069E0265" w:rsidR="00B11D51" w:rsidRDefault="00B11D51" w:rsidP="00FC4BBE">
      <w:pPr>
        <w:rPr>
          <w:sz w:val="24"/>
        </w:rPr>
      </w:pPr>
      <w:r>
        <w:rPr>
          <w:sz w:val="24"/>
        </w:rPr>
        <w:t>De beschikbaarheid van productiefactoren wordt niet beïnvloed door prijsniveau, dus LTGA loopt verticaal en verschuift door:</w:t>
      </w:r>
    </w:p>
    <w:p w14:paraId="76CE81C7" w14:textId="3655BFA7" w:rsidR="00B11D51" w:rsidRDefault="00B11D51" w:rsidP="00B11D51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Technologische vooruitgang</w:t>
      </w:r>
    </w:p>
    <w:p w14:paraId="12A64010" w14:textId="63267A21" w:rsidR="00B11D51" w:rsidRDefault="00B11D51" w:rsidP="00B11D51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Grotere beschikbaarheid productiefactoren</w:t>
      </w:r>
    </w:p>
    <w:p w14:paraId="0FCDE5CD" w14:textId="7488106E" w:rsidR="00B11D51" w:rsidRDefault="00B11D51" w:rsidP="00B11D51">
      <w:pPr>
        <w:rPr>
          <w:sz w:val="24"/>
        </w:rPr>
      </w:pPr>
      <w:r>
        <w:rPr>
          <w:sz w:val="24"/>
        </w:rPr>
        <w:t xml:space="preserve">LTGA verschuift gestaag naar rechts. </w:t>
      </w:r>
      <w:r w:rsidR="00552C4A">
        <w:rPr>
          <w:sz w:val="24"/>
        </w:rPr>
        <w:t>Ook de EV stijgt, want: p</w:t>
      </w:r>
      <w:r>
        <w:rPr>
          <w:sz w:val="24"/>
        </w:rPr>
        <w:t xml:space="preserve">roductiviteit stijgt </w:t>
      </w:r>
      <w:r w:rsidRPr="00B11D51">
        <w:rPr>
          <w:sz w:val="24"/>
        </w:rPr>
        <w:sym w:font="Wingdings" w:char="F0E0"/>
      </w:r>
      <w:r>
        <w:rPr>
          <w:sz w:val="24"/>
        </w:rPr>
        <w:t xml:space="preserve"> beloningen productiefactoren stijgen </w:t>
      </w:r>
      <w:r w:rsidRPr="00B11D51">
        <w:rPr>
          <w:sz w:val="24"/>
        </w:rPr>
        <w:sym w:font="Wingdings" w:char="F0E0"/>
      </w:r>
      <w:r>
        <w:rPr>
          <w:sz w:val="24"/>
        </w:rPr>
        <w:t xml:space="preserve"> lonen stijgen </w:t>
      </w:r>
      <w:r w:rsidRPr="00B11D51">
        <w:rPr>
          <w:sz w:val="24"/>
        </w:rPr>
        <w:sym w:font="Wingdings" w:char="F0E0"/>
      </w:r>
      <w:r>
        <w:rPr>
          <w:sz w:val="24"/>
        </w:rPr>
        <w:t xml:space="preserve"> EV stijgt</w:t>
      </w:r>
    </w:p>
    <w:p w14:paraId="3FFD582E" w14:textId="22EB3683" w:rsidR="00B11D51" w:rsidRDefault="00B11D51" w:rsidP="00B11D51">
      <w:pPr>
        <w:rPr>
          <w:sz w:val="24"/>
        </w:rPr>
      </w:pPr>
      <w:r>
        <w:rPr>
          <w:sz w:val="24"/>
        </w:rPr>
        <w:t xml:space="preserve">Alle opeenvolgende evenwichten vormen het </w:t>
      </w:r>
      <w:proofErr w:type="spellStart"/>
      <w:r>
        <w:rPr>
          <w:sz w:val="24"/>
        </w:rPr>
        <w:t>langetermijngroeipad</w:t>
      </w:r>
      <w:proofErr w:type="spellEnd"/>
      <w:r>
        <w:rPr>
          <w:sz w:val="24"/>
        </w:rPr>
        <w:t>.</w:t>
      </w:r>
    </w:p>
    <w:p w14:paraId="3496FE75" w14:textId="77777777" w:rsidR="00360B26" w:rsidRDefault="00360B26" w:rsidP="00B11D51">
      <w:pPr>
        <w:rPr>
          <w:sz w:val="24"/>
        </w:rPr>
      </w:pPr>
      <w:bookmarkStart w:id="0" w:name="_GoBack"/>
      <w:bookmarkEnd w:id="0"/>
    </w:p>
    <w:p w14:paraId="58C94E72" w14:textId="65B9803E" w:rsidR="00B11D51" w:rsidRPr="00B11D51" w:rsidRDefault="00B11D51" w:rsidP="00B11D51">
      <w:pPr>
        <w:rPr>
          <w:sz w:val="24"/>
        </w:rPr>
      </w:pPr>
      <w:r>
        <w:rPr>
          <w:noProof/>
        </w:rPr>
        <w:drawing>
          <wp:inline distT="0" distB="0" distL="0" distR="0" wp14:anchorId="1879BC7E" wp14:editId="39FB8ECF">
            <wp:extent cx="4152900" cy="3694860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021" t="42622" r="38492" b="21811"/>
                    <a:stretch/>
                  </pic:blipFill>
                  <pic:spPr bwMode="auto">
                    <a:xfrm>
                      <a:off x="0" y="0"/>
                      <a:ext cx="4155457" cy="369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E8853" w14:textId="08065157" w:rsidR="00B11D51" w:rsidRDefault="00B11D51" w:rsidP="00FC4BBE">
      <w:pPr>
        <w:rPr>
          <w:sz w:val="24"/>
        </w:rPr>
      </w:pPr>
      <w:r>
        <w:rPr>
          <w:sz w:val="24"/>
        </w:rPr>
        <w:lastRenderedPageBreak/>
        <w:t xml:space="preserve">Uitleg grafiek: externe schok </w:t>
      </w:r>
      <w:r w:rsidRPr="00B11D51">
        <w:rPr>
          <w:sz w:val="24"/>
        </w:rPr>
        <w:sym w:font="Wingdings" w:char="F0E0"/>
      </w:r>
      <w:r>
        <w:rPr>
          <w:sz w:val="24"/>
        </w:rPr>
        <w:t xml:space="preserve"> vraag daalt </w:t>
      </w:r>
      <w:r w:rsidRPr="00B11D51">
        <w:rPr>
          <w:sz w:val="24"/>
        </w:rPr>
        <w:sym w:font="Wingdings" w:char="F0E0"/>
      </w:r>
      <w:r>
        <w:rPr>
          <w:sz w:val="24"/>
        </w:rPr>
        <w:t xml:space="preserve"> van A naar B. Op termijn daalt het prijsniveau (o.a. vraag arbeid daalt </w:t>
      </w:r>
      <w:r w:rsidRPr="00B11D51">
        <w:rPr>
          <w:sz w:val="24"/>
        </w:rPr>
        <w:sym w:font="Wingdings" w:char="F0E0"/>
      </w:r>
      <w:r>
        <w:rPr>
          <w:sz w:val="24"/>
        </w:rPr>
        <w:t xml:space="preserve"> lonen dalen </w:t>
      </w:r>
      <w:r w:rsidRPr="00B11D51">
        <w:rPr>
          <w:sz w:val="24"/>
        </w:rPr>
        <w:sym w:font="Wingdings" w:char="F0E0"/>
      </w:r>
      <w:r>
        <w:rPr>
          <w:sz w:val="24"/>
        </w:rPr>
        <w:t xml:space="preserve"> produceren goedkoper). Dalende prijs </w:t>
      </w:r>
      <w:r w:rsidRPr="00B11D51">
        <w:rPr>
          <w:sz w:val="24"/>
        </w:rPr>
        <w:sym w:font="Wingdings" w:char="F0E0"/>
      </w:r>
      <w:r>
        <w:rPr>
          <w:sz w:val="24"/>
        </w:rPr>
        <w:t xml:space="preserve"> van B naar C.</w:t>
      </w:r>
    </w:p>
    <w:p w14:paraId="756B243C" w14:textId="32CA8AF4" w:rsidR="00B11D51" w:rsidRDefault="00B11D51" w:rsidP="00FC4BBE">
      <w:pPr>
        <w:rPr>
          <w:sz w:val="24"/>
        </w:rPr>
      </w:pPr>
      <w:r>
        <w:rPr>
          <w:sz w:val="24"/>
        </w:rPr>
        <w:t>Er is dus een afwijking van de natuurlijke productieomvang: de conjunctuurbeweging.</w:t>
      </w:r>
    </w:p>
    <w:p w14:paraId="291AA04F" w14:textId="43926C0B" w:rsidR="00B11D51" w:rsidRDefault="00B11D51" w:rsidP="00FC4BBE">
      <w:pPr>
        <w:rPr>
          <w:sz w:val="24"/>
        </w:rPr>
      </w:pPr>
    </w:p>
    <w:p w14:paraId="6347BFCE" w14:textId="04A14176" w:rsidR="00B11D51" w:rsidRDefault="00B11D51" w:rsidP="00FC4BBE">
      <w:pPr>
        <w:rPr>
          <w:sz w:val="24"/>
        </w:rPr>
      </w:pPr>
      <w:r>
        <w:rPr>
          <w:sz w:val="24"/>
        </w:rPr>
        <w:t xml:space="preserve">Anticyclisch beleid: dempt conjunctuurbeweging (meer overheidsbestedingen of lagere belastingen bij laagconjunctuur </w:t>
      </w:r>
      <w:r w:rsidRPr="00B11D51">
        <w:rPr>
          <w:sz w:val="24"/>
        </w:rPr>
        <w:sym w:font="Wingdings" w:char="F0E0"/>
      </w:r>
      <w:r>
        <w:rPr>
          <w:sz w:val="24"/>
        </w:rPr>
        <w:t xml:space="preserve"> hoger financieringstekort </w:t>
      </w:r>
      <w:r w:rsidRPr="00B11D51">
        <w:rPr>
          <w:sz w:val="24"/>
        </w:rPr>
        <w:sym w:font="Wingdings" w:char="F0E0"/>
      </w:r>
      <w:r>
        <w:rPr>
          <w:sz w:val="24"/>
        </w:rPr>
        <w:t xml:space="preserve"> hogere staatsschuld)</w:t>
      </w:r>
    </w:p>
    <w:p w14:paraId="3958F275" w14:textId="30DCA9F7" w:rsidR="00B11D51" w:rsidRDefault="00B11D51" w:rsidP="00FC4BBE">
      <w:pPr>
        <w:rPr>
          <w:sz w:val="24"/>
        </w:rPr>
      </w:pPr>
      <w:r>
        <w:rPr>
          <w:sz w:val="24"/>
        </w:rPr>
        <w:t>Procyclisch beleid: versterkt conjunctuurbeweging</w:t>
      </w:r>
    </w:p>
    <w:p w14:paraId="1C71451F" w14:textId="0E1FD88C" w:rsidR="00B11D51" w:rsidRDefault="00B11D51" w:rsidP="00FC4BBE">
      <w:pPr>
        <w:rPr>
          <w:sz w:val="24"/>
        </w:rPr>
      </w:pPr>
      <w:r>
        <w:rPr>
          <w:sz w:val="24"/>
        </w:rPr>
        <w:t>Inverdieneffecten: investering overheid wordt meteen voor een deel terugverdiend (hogere belastingontvangsten)</w:t>
      </w:r>
    </w:p>
    <w:p w14:paraId="76C324E9" w14:textId="5BD56A8C" w:rsidR="00B11D51" w:rsidRDefault="00B11D51" w:rsidP="00FC4BBE">
      <w:pPr>
        <w:rPr>
          <w:sz w:val="24"/>
        </w:rPr>
      </w:pPr>
      <w:proofErr w:type="spellStart"/>
      <w:r>
        <w:rPr>
          <w:sz w:val="24"/>
        </w:rPr>
        <w:t>Uitverdieneffecten</w:t>
      </w:r>
      <w:proofErr w:type="spellEnd"/>
      <w:r>
        <w:rPr>
          <w:sz w:val="24"/>
        </w:rPr>
        <w:t>: bezuiniging leidt tot extra verliezen (lagere belastingontvangsten, meer sociale uitkeringen)</w:t>
      </w:r>
    </w:p>
    <w:p w14:paraId="2565555B" w14:textId="607ACD23" w:rsidR="00B11D51" w:rsidRDefault="00B11D51" w:rsidP="00FC4BBE">
      <w:pPr>
        <w:rPr>
          <w:sz w:val="24"/>
        </w:rPr>
      </w:pPr>
      <w:r>
        <w:rPr>
          <w:sz w:val="24"/>
        </w:rPr>
        <w:t>Ook kunnen er structurele aanpassingen (structuurkant/productiekant)  gedaan worden om de economie te stimuleren, zoals verbetering van de internationale concurrentiepositie: de mate waarin bedrijven in staat zijn te concurreren met het buitenland (bepaald door prijs en kwaliteit producten):</w:t>
      </w:r>
    </w:p>
    <w:p w14:paraId="621C9633" w14:textId="74FC3495" w:rsidR="00B11D51" w:rsidRDefault="00B11D51" w:rsidP="00B11D51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Beteugeling inflatie</w:t>
      </w:r>
    </w:p>
    <w:p w14:paraId="0A7A2B99" w14:textId="098B3A8D" w:rsidR="00B11D51" w:rsidRDefault="00B11D51" w:rsidP="00B11D51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Loonmatiging (kosten dalen </w:t>
      </w:r>
      <w:r w:rsidRPr="00B11D51">
        <w:rPr>
          <w:sz w:val="24"/>
        </w:rPr>
        <w:sym w:font="Wingdings" w:char="F0E0"/>
      </w:r>
      <w:r>
        <w:rPr>
          <w:sz w:val="24"/>
        </w:rPr>
        <w:t xml:space="preserve"> prijzen dalen)</w:t>
      </w:r>
    </w:p>
    <w:p w14:paraId="3D51F4B6" w14:textId="0A871B54" w:rsidR="00B11D51" w:rsidRDefault="00B11D51" w:rsidP="00B11D51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Verhoging arbeidsproductiviteit (kosten dalen </w:t>
      </w:r>
      <w:r w:rsidRPr="00B11D51">
        <w:rPr>
          <w:sz w:val="24"/>
        </w:rPr>
        <w:sym w:font="Wingdings" w:char="F0E0"/>
      </w:r>
      <w:r>
        <w:rPr>
          <w:sz w:val="24"/>
        </w:rPr>
        <w:t xml:space="preserve"> prijzen dalen)</w:t>
      </w:r>
    </w:p>
    <w:p w14:paraId="7C30159E" w14:textId="3C26FB2E" w:rsidR="00B11D51" w:rsidRDefault="00B11D51" w:rsidP="00B11D51">
      <w:pPr>
        <w:rPr>
          <w:sz w:val="24"/>
        </w:rPr>
      </w:pPr>
      <w:r>
        <w:rPr>
          <w:sz w:val="24"/>
        </w:rPr>
        <w:t>automatische stabilisatoren: mechanismen die de conjunctuurbeweging dempen:</w:t>
      </w:r>
    </w:p>
    <w:p w14:paraId="3E7EECF3" w14:textId="6C2626F0" w:rsidR="00B11D51" w:rsidRDefault="00B11D51" w:rsidP="00B11D51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Sociale uitkeringen (bestedingen dalen minder)</w:t>
      </w:r>
    </w:p>
    <w:p w14:paraId="51229A98" w14:textId="77028477" w:rsidR="00B11D51" w:rsidRDefault="00B11D51" w:rsidP="00B11D51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Progressief belastingstelsel (relatief minder belasting </w:t>
      </w:r>
      <w:r w:rsidRPr="00B11D51">
        <w:rPr>
          <w:sz w:val="24"/>
        </w:rPr>
        <w:sym w:font="Wingdings" w:char="F0E0"/>
      </w:r>
      <w:r>
        <w:rPr>
          <w:sz w:val="24"/>
        </w:rPr>
        <w:t xml:space="preserve"> bestedingen dalen minder)</w:t>
      </w:r>
    </w:p>
    <w:p w14:paraId="36A0CC22" w14:textId="572D2C8D" w:rsidR="00B11D51" w:rsidRDefault="00B11D51" w:rsidP="00B11D51">
      <w:pPr>
        <w:rPr>
          <w:sz w:val="24"/>
        </w:rPr>
      </w:pPr>
    </w:p>
    <w:p w14:paraId="7B1305E5" w14:textId="0FEAFADD" w:rsidR="00B11D51" w:rsidRDefault="00B11D51" w:rsidP="00B11D51">
      <w:pPr>
        <w:rPr>
          <w:sz w:val="24"/>
        </w:rPr>
      </w:pPr>
      <w:r>
        <w:rPr>
          <w:sz w:val="24"/>
        </w:rPr>
        <w:t>Monetair beleid ECB:</w:t>
      </w:r>
    </w:p>
    <w:p w14:paraId="44A6A483" w14:textId="47AA020D" w:rsidR="00B11D51" w:rsidRDefault="00B11D51" w:rsidP="00B11D5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Wisselkoersbeleid</w:t>
      </w:r>
    </w:p>
    <w:p w14:paraId="601D9326" w14:textId="627E0F5D" w:rsidR="00B11D51" w:rsidRPr="00B11D51" w:rsidRDefault="00B11D51" w:rsidP="00B11D5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Geldhoeveelheidsbeleid</w:t>
      </w:r>
    </w:p>
    <w:p w14:paraId="5DA5C5BB" w14:textId="192056DA" w:rsidR="00B11D51" w:rsidRDefault="00B11D51" w:rsidP="00B11D5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Rentebeleid</w:t>
      </w:r>
    </w:p>
    <w:p w14:paraId="08B0AA89" w14:textId="6B5E94CD" w:rsidR="00B11D51" w:rsidRDefault="00B11D51" w:rsidP="00B11D51">
      <w:pPr>
        <w:rPr>
          <w:sz w:val="24"/>
        </w:rPr>
      </w:pPr>
      <w:r>
        <w:rPr>
          <w:sz w:val="24"/>
        </w:rPr>
        <w:t>Taken ECB:</w:t>
      </w:r>
    </w:p>
    <w:p w14:paraId="267F8020" w14:textId="7E8F32E3" w:rsidR="00B11D51" w:rsidRDefault="00B11D51" w:rsidP="00B11D51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Toezicht op monetaire infrastructuur (zorgen dat iedereen veilig, vlot en makkelijk kan betalen)</w:t>
      </w:r>
    </w:p>
    <w:p w14:paraId="56A01C4F" w14:textId="719B6591" w:rsidR="00B11D51" w:rsidRDefault="00B11D51" w:rsidP="00B11D51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Toezicht op aanbieders van financiële producten (bankvergunningen, zorgen dat spaarders weinig risico lopen)</w:t>
      </w:r>
    </w:p>
    <w:p w14:paraId="71944F2E" w14:textId="0700ADB7" w:rsidR="00FF3282" w:rsidRDefault="00FF3282" w:rsidP="00FF3282">
      <w:pPr>
        <w:pStyle w:val="Lijstalinea"/>
        <w:numPr>
          <w:ilvl w:val="1"/>
          <w:numId w:val="7"/>
        </w:numPr>
        <w:rPr>
          <w:sz w:val="24"/>
        </w:rPr>
      </w:pPr>
      <w:r>
        <w:rPr>
          <w:sz w:val="24"/>
        </w:rPr>
        <w:t>Depositogarantiestelsel: spaargelden zijn tot een maximum gegarandeerd</w:t>
      </w:r>
    </w:p>
    <w:p w14:paraId="4014FC67" w14:textId="7D3A42E1" w:rsidR="00FF3282" w:rsidRDefault="00FF3282" w:rsidP="00FF3282">
      <w:pPr>
        <w:pStyle w:val="Lijstalinea"/>
        <w:numPr>
          <w:ilvl w:val="1"/>
          <w:numId w:val="7"/>
        </w:numPr>
        <w:rPr>
          <w:sz w:val="24"/>
        </w:rPr>
      </w:pPr>
      <w:r>
        <w:rPr>
          <w:sz w:val="24"/>
        </w:rPr>
        <w:t>Dekkingsgraad: kapitaalomvang als percentage van alle huidige en toekomstige pensioenverplichtingen</w:t>
      </w:r>
    </w:p>
    <w:p w14:paraId="3F24A115" w14:textId="19FA2884" w:rsidR="00FF3282" w:rsidRDefault="00FF3282" w:rsidP="00FF3282">
      <w:pPr>
        <w:rPr>
          <w:b/>
          <w:sz w:val="24"/>
        </w:rPr>
      </w:pPr>
      <w:r w:rsidRPr="00FF3282">
        <w:rPr>
          <w:b/>
          <w:sz w:val="24"/>
        </w:rPr>
        <w:lastRenderedPageBreak/>
        <w:t>Wisselkoersbeleid</w:t>
      </w:r>
    </w:p>
    <w:p w14:paraId="2CF10FF2" w14:textId="76377C99" w:rsidR="00FF3282" w:rsidRDefault="00FF3282" w:rsidP="00FF3282">
      <w:pPr>
        <w:rPr>
          <w:sz w:val="24"/>
        </w:rPr>
      </w:pPr>
      <w:r>
        <w:rPr>
          <w:sz w:val="24"/>
        </w:rPr>
        <w:t>appreciatie: stijging wisselkoers (waardestijging t.o.v. andere valuta)</w:t>
      </w:r>
    </w:p>
    <w:p w14:paraId="49B3E5A1" w14:textId="7AD727A8" w:rsidR="00FF3282" w:rsidRDefault="00FF3282" w:rsidP="00FF3282">
      <w:pPr>
        <w:rPr>
          <w:sz w:val="24"/>
        </w:rPr>
      </w:pPr>
      <w:r>
        <w:rPr>
          <w:sz w:val="24"/>
        </w:rPr>
        <w:t>depreciatie: daling wisselkoers (waardedaling t.o.v. andere valuta)</w:t>
      </w:r>
    </w:p>
    <w:p w14:paraId="2B19426E" w14:textId="71F3A08E" w:rsidR="00FF3282" w:rsidRDefault="00FF3282" w:rsidP="00FF3282">
      <w:pPr>
        <w:rPr>
          <w:sz w:val="24"/>
        </w:rPr>
      </w:pPr>
      <w:r>
        <w:rPr>
          <w:sz w:val="24"/>
        </w:rPr>
        <w:t>variabele/zwevende wisselkoers: bepaald door vraag en aanbod</w:t>
      </w:r>
    </w:p>
    <w:p w14:paraId="2A6367B7" w14:textId="0E99C3E8" w:rsidR="00FF3282" w:rsidRDefault="00FF3282" w:rsidP="00FF3282">
      <w:pPr>
        <w:rPr>
          <w:sz w:val="24"/>
        </w:rPr>
      </w:pPr>
      <w:r>
        <w:rPr>
          <w:sz w:val="24"/>
        </w:rPr>
        <w:t>vaste wisselkoers: vastgesteld door centrale bank</w:t>
      </w:r>
    </w:p>
    <w:p w14:paraId="3BFD5294" w14:textId="03202FC5" w:rsidR="00FF3282" w:rsidRDefault="00FF3282" w:rsidP="00FF3282">
      <w:pPr>
        <w:rPr>
          <w:sz w:val="24"/>
        </w:rPr>
      </w:pPr>
      <w:r>
        <w:rPr>
          <w:sz w:val="24"/>
        </w:rPr>
        <w:t>Centrale bank beïnvloedt wisselkoers:</w:t>
      </w:r>
    </w:p>
    <w:p w14:paraId="04D54CDF" w14:textId="4883C43C" w:rsidR="00FF3282" w:rsidRDefault="00FF3282" w:rsidP="00FF3282">
      <w:pPr>
        <w:pStyle w:val="Lijstalinea"/>
        <w:numPr>
          <w:ilvl w:val="0"/>
          <w:numId w:val="8"/>
        </w:numPr>
        <w:rPr>
          <w:sz w:val="24"/>
        </w:rPr>
      </w:pPr>
      <w:r>
        <w:rPr>
          <w:sz w:val="24"/>
        </w:rPr>
        <w:t>Munt verkopen of aankopen op valutamarkt (vraag of aanbod stijgt)</w:t>
      </w:r>
    </w:p>
    <w:p w14:paraId="020C0A24" w14:textId="2348B223" w:rsidR="00FF3282" w:rsidRDefault="00FF3282" w:rsidP="00FF3282">
      <w:pPr>
        <w:pStyle w:val="Lijstalinea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Rente beïnvloeden (rente stijgt </w:t>
      </w:r>
      <w:r w:rsidRPr="00FF3282">
        <w:rPr>
          <w:sz w:val="24"/>
        </w:rPr>
        <w:sym w:font="Wingdings" w:char="F0E0"/>
      </w:r>
      <w:r>
        <w:rPr>
          <w:sz w:val="24"/>
        </w:rPr>
        <w:t xml:space="preserve"> aantrekkelijk voor buitenlandse beleggers </w:t>
      </w:r>
      <w:r w:rsidRPr="00FF3282">
        <w:rPr>
          <w:sz w:val="24"/>
        </w:rPr>
        <w:sym w:font="Wingdings" w:char="F0E0"/>
      </w:r>
      <w:r>
        <w:rPr>
          <w:sz w:val="24"/>
        </w:rPr>
        <w:t xml:space="preserve"> vraag euro’s stijgt </w:t>
      </w:r>
      <w:r w:rsidRPr="00FF3282">
        <w:rPr>
          <w:sz w:val="24"/>
        </w:rPr>
        <w:sym w:font="Wingdings" w:char="F0E0"/>
      </w:r>
      <w:r>
        <w:rPr>
          <w:sz w:val="24"/>
        </w:rPr>
        <w:t xml:space="preserve"> wisselkoers euro stijgt)</w:t>
      </w:r>
    </w:p>
    <w:p w14:paraId="22912279" w14:textId="1C9D2FD7" w:rsidR="00FF3282" w:rsidRDefault="00FF3282" w:rsidP="00FF3282">
      <w:pPr>
        <w:rPr>
          <w:sz w:val="24"/>
        </w:rPr>
      </w:pPr>
      <w:r>
        <w:rPr>
          <w:sz w:val="24"/>
        </w:rPr>
        <w:t>Zwevende wisselkoers zorgt voor evenwichtige betalingsbalans:</w:t>
      </w:r>
    </w:p>
    <w:p w14:paraId="55410014" w14:textId="3E7BB09E" w:rsidR="00FF3282" w:rsidRDefault="00FF3282" w:rsidP="00FF3282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inkomstenkant: vraag euro’s</w:t>
      </w:r>
    </w:p>
    <w:p w14:paraId="2A336794" w14:textId="555BBBFE" w:rsidR="00FF3282" w:rsidRDefault="00FF3282" w:rsidP="00FF3282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uitgavenkant: aanbod euro’s</w:t>
      </w:r>
    </w:p>
    <w:p w14:paraId="3B47DB83" w14:textId="238C4FBA" w:rsidR="00FF3282" w:rsidRDefault="00FF3282" w:rsidP="00FF3282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positief saldo betalingsbalans </w:t>
      </w:r>
      <w:r w:rsidRPr="00FF3282">
        <w:rPr>
          <w:sz w:val="24"/>
        </w:rPr>
        <w:sym w:font="Wingdings" w:char="F0E0"/>
      </w:r>
      <w:r>
        <w:rPr>
          <w:sz w:val="24"/>
        </w:rPr>
        <w:t xml:space="preserve"> appreciatie euro </w:t>
      </w:r>
      <w:r w:rsidRPr="00FF3282">
        <w:rPr>
          <w:sz w:val="24"/>
        </w:rPr>
        <w:sym w:font="Wingdings" w:char="F0E0"/>
      </w:r>
      <w:r>
        <w:rPr>
          <w:sz w:val="24"/>
        </w:rPr>
        <w:t xml:space="preserve"> export daalt, import stijgt </w:t>
      </w:r>
      <w:r w:rsidRPr="00FF3282">
        <w:rPr>
          <w:sz w:val="24"/>
        </w:rPr>
        <w:sym w:font="Wingdings" w:char="F0E0"/>
      </w:r>
      <w:r>
        <w:rPr>
          <w:sz w:val="24"/>
        </w:rPr>
        <w:t xml:space="preserve"> betalingsbalans in evenwicht</w:t>
      </w:r>
    </w:p>
    <w:p w14:paraId="58DB53FB" w14:textId="039EC7A0" w:rsidR="00FF3282" w:rsidRDefault="00FF3282" w:rsidP="00FF3282">
      <w:pPr>
        <w:rPr>
          <w:sz w:val="24"/>
        </w:rPr>
      </w:pPr>
      <w:r>
        <w:rPr>
          <w:sz w:val="24"/>
        </w:rPr>
        <w:t xml:space="preserve">Zwevende wisselkoers werkt dempend: conjunctuur VK verslechtert </w:t>
      </w:r>
      <w:r w:rsidRPr="00FF3282">
        <w:rPr>
          <w:sz w:val="24"/>
        </w:rPr>
        <w:sym w:font="Wingdings" w:char="F0E0"/>
      </w:r>
      <w:r>
        <w:rPr>
          <w:sz w:val="24"/>
        </w:rPr>
        <w:t xml:space="preserve"> minder import uit eurogebied </w:t>
      </w:r>
      <w:r w:rsidRPr="00FF3282">
        <w:rPr>
          <w:sz w:val="24"/>
        </w:rPr>
        <w:sym w:font="Wingdings" w:char="F0E0"/>
      </w:r>
      <w:r>
        <w:rPr>
          <w:sz w:val="24"/>
        </w:rPr>
        <w:t xml:space="preserve"> vraag euro’s daalt </w:t>
      </w:r>
      <w:r w:rsidRPr="00FF3282">
        <w:rPr>
          <w:sz w:val="24"/>
        </w:rPr>
        <w:sym w:font="Wingdings" w:char="F0E0"/>
      </w:r>
      <w:r>
        <w:rPr>
          <w:sz w:val="24"/>
        </w:rPr>
        <w:t xml:space="preserve"> depreciatie euro </w:t>
      </w:r>
      <w:r w:rsidRPr="00FF3282">
        <w:rPr>
          <w:sz w:val="24"/>
        </w:rPr>
        <w:sym w:font="Wingdings" w:char="F0E0"/>
      </w:r>
      <w:r>
        <w:rPr>
          <w:sz w:val="24"/>
        </w:rPr>
        <w:t xml:space="preserve"> export stijgt weer </w:t>
      </w:r>
      <w:r w:rsidRPr="00FF3282">
        <w:rPr>
          <w:sz w:val="24"/>
        </w:rPr>
        <w:sym w:font="Wingdings" w:char="F0E0"/>
      </w:r>
      <w:r>
        <w:rPr>
          <w:sz w:val="24"/>
        </w:rPr>
        <w:t xml:space="preserve"> vraag euro’s stijgt</w:t>
      </w:r>
    </w:p>
    <w:p w14:paraId="55066889" w14:textId="67094236" w:rsidR="00FF3282" w:rsidRDefault="00FF3282" w:rsidP="00FF3282">
      <w:pPr>
        <w:rPr>
          <w:sz w:val="24"/>
        </w:rPr>
      </w:pPr>
      <w:r>
        <w:rPr>
          <w:sz w:val="24"/>
        </w:rPr>
        <w:t xml:space="preserve">Voordeel vaste wisselkoers: geen wisselkoersrisico (minder onzekerheid bij handelen met buitenland </w:t>
      </w:r>
      <w:r w:rsidRPr="00FF3282">
        <w:rPr>
          <w:sz w:val="24"/>
        </w:rPr>
        <w:sym w:font="Wingdings" w:char="F0E0"/>
      </w:r>
      <w:r>
        <w:rPr>
          <w:sz w:val="24"/>
        </w:rPr>
        <w:t xml:space="preserve"> bevorderlijk voor internationale handel)</w:t>
      </w:r>
    </w:p>
    <w:p w14:paraId="693DF8A4" w14:textId="56B23B01" w:rsidR="00FF3282" w:rsidRDefault="00FF3282" w:rsidP="00FF3282">
      <w:pPr>
        <w:rPr>
          <w:sz w:val="24"/>
        </w:rPr>
      </w:pPr>
      <w:r>
        <w:rPr>
          <w:sz w:val="24"/>
        </w:rPr>
        <w:t>ECB probeert koers euro niet aan te passen:</w:t>
      </w:r>
    </w:p>
    <w:p w14:paraId="0E8E743A" w14:textId="47E62B59" w:rsidR="00FF3282" w:rsidRDefault="00FF3282" w:rsidP="00FF3282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Geen vaste verhouding euro en andere munten</w:t>
      </w:r>
    </w:p>
    <w:p w14:paraId="374234BF" w14:textId="5B205BD7" w:rsidR="00FF3282" w:rsidRDefault="00FF3282" w:rsidP="00FF3282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Prioriteit is prijsstabiliteit</w:t>
      </w:r>
    </w:p>
    <w:p w14:paraId="03702DFC" w14:textId="6419D337" w:rsidR="00FF3282" w:rsidRDefault="00FF3282" w:rsidP="00FF3282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Wisselkoersbeleid is minder belangrijk, want meeste handel is binnen EU</w:t>
      </w:r>
    </w:p>
    <w:p w14:paraId="4DC8D5AC" w14:textId="78F650A4" w:rsidR="00FF3282" w:rsidRDefault="00FF3282" w:rsidP="00FF3282">
      <w:pPr>
        <w:rPr>
          <w:b/>
          <w:sz w:val="24"/>
        </w:rPr>
      </w:pPr>
      <w:r w:rsidRPr="00FF3282">
        <w:rPr>
          <w:b/>
          <w:sz w:val="24"/>
        </w:rPr>
        <w:t>Geldhoeveelheidsbeleid</w:t>
      </w:r>
    </w:p>
    <w:p w14:paraId="1C809DCA" w14:textId="016D666F" w:rsidR="00FF3282" w:rsidRDefault="00E93548" w:rsidP="00FF3282">
      <w:pPr>
        <w:rPr>
          <w:sz w:val="24"/>
        </w:rPr>
      </w:pPr>
      <w:r>
        <w:rPr>
          <w:sz w:val="24"/>
        </w:rPr>
        <w:t>Indire</w:t>
      </w:r>
      <w:r w:rsidR="00AE6325">
        <w:rPr>
          <w:sz w:val="24"/>
        </w:rPr>
        <w:t>cte</w:t>
      </w:r>
      <w:r w:rsidR="001D223D">
        <w:rPr>
          <w:sz w:val="24"/>
        </w:rPr>
        <w:t xml:space="preserve"> beïnvloeding M: rentebeleid</w:t>
      </w:r>
    </w:p>
    <w:p w14:paraId="5CFF6D04" w14:textId="542B1FB2" w:rsidR="001D223D" w:rsidRDefault="001D223D" w:rsidP="00FF3282">
      <w:pPr>
        <w:rPr>
          <w:sz w:val="24"/>
        </w:rPr>
      </w:pPr>
      <w:r>
        <w:rPr>
          <w:sz w:val="24"/>
        </w:rPr>
        <w:t>Directe beïnvloeding M: opkopen staatsobligaties</w:t>
      </w:r>
      <w:r w:rsidR="007A2538">
        <w:rPr>
          <w:sz w:val="24"/>
        </w:rPr>
        <w:t xml:space="preserve"> (kwantitatieve verruiming)</w:t>
      </w:r>
    </w:p>
    <w:p w14:paraId="54C647EB" w14:textId="0F27A8E5" w:rsidR="001D223D" w:rsidRDefault="001D223D" w:rsidP="00FF3282">
      <w:pPr>
        <w:rPr>
          <w:sz w:val="24"/>
        </w:rPr>
      </w:pPr>
      <w:r>
        <w:rPr>
          <w:sz w:val="24"/>
        </w:rPr>
        <w:t>Monetaire expansie (geldschepping): vergroten maatschappelijke geldhoeveelheid</w:t>
      </w:r>
    </w:p>
    <w:p w14:paraId="7F8711FC" w14:textId="45ED1FD4" w:rsidR="001D223D" w:rsidRDefault="001D223D" w:rsidP="00FF3282">
      <w:pPr>
        <w:rPr>
          <w:sz w:val="24"/>
        </w:rPr>
      </w:pPr>
      <w:r>
        <w:rPr>
          <w:sz w:val="24"/>
        </w:rPr>
        <w:t>Verkeersvergelijking van Fisher: M x V = P x T of Y</w:t>
      </w:r>
    </w:p>
    <w:p w14:paraId="34EAE228" w14:textId="698A0481" w:rsidR="001D223D" w:rsidRDefault="001D223D" w:rsidP="00FF3282">
      <w:pPr>
        <w:rPr>
          <w:sz w:val="24"/>
        </w:rPr>
      </w:pPr>
      <w:r>
        <w:rPr>
          <w:sz w:val="24"/>
        </w:rPr>
        <w:t>M = maatschappelijke geldhoeveelheid</w:t>
      </w:r>
    </w:p>
    <w:p w14:paraId="6EDBAB64" w14:textId="6EC7BCA6" w:rsidR="001D223D" w:rsidRDefault="001D223D" w:rsidP="00FF3282">
      <w:pPr>
        <w:rPr>
          <w:sz w:val="24"/>
        </w:rPr>
      </w:pPr>
      <w:r>
        <w:rPr>
          <w:sz w:val="24"/>
        </w:rPr>
        <w:t>V = omloopsnelheid van geld (constante): aantal keer per jaar dat munten en bankbiljetten gemiddeld worden gebruikt om goederen en diensten te kopen</w:t>
      </w:r>
    </w:p>
    <w:p w14:paraId="7F9D0EFB" w14:textId="74F5A2D8" w:rsidR="001D223D" w:rsidRDefault="001D223D" w:rsidP="00FF3282">
      <w:pPr>
        <w:rPr>
          <w:sz w:val="24"/>
        </w:rPr>
      </w:pPr>
      <w:r>
        <w:rPr>
          <w:sz w:val="24"/>
        </w:rPr>
        <w:t>P = prijsniveau goederen en diensten</w:t>
      </w:r>
    </w:p>
    <w:p w14:paraId="0E75402B" w14:textId="347EAE9C" w:rsidR="001D223D" w:rsidRDefault="001D223D" w:rsidP="00FF3282">
      <w:pPr>
        <w:rPr>
          <w:sz w:val="24"/>
        </w:rPr>
      </w:pPr>
      <w:r>
        <w:rPr>
          <w:sz w:val="24"/>
        </w:rPr>
        <w:t>Y = reëel nationaal inkomen (productie in hoeveelheden)</w:t>
      </w:r>
    </w:p>
    <w:p w14:paraId="7AFD76E0" w14:textId="734FB8DD" w:rsidR="001D223D" w:rsidRDefault="001D223D" w:rsidP="00FF3282">
      <w:pPr>
        <w:rPr>
          <w:sz w:val="24"/>
        </w:rPr>
      </w:pPr>
      <w:r>
        <w:rPr>
          <w:sz w:val="24"/>
        </w:rPr>
        <w:lastRenderedPageBreak/>
        <w:t>T = aantal transacties</w:t>
      </w:r>
    </w:p>
    <w:p w14:paraId="5473FBE2" w14:textId="048CFDEE" w:rsidR="001D223D" w:rsidRDefault="001D223D" w:rsidP="00FF3282">
      <w:pPr>
        <w:rPr>
          <w:sz w:val="24"/>
        </w:rPr>
      </w:pPr>
      <w:r>
        <w:rPr>
          <w:sz w:val="24"/>
        </w:rPr>
        <w:t>Deze vergelijking geeft het verband tussen de waarde van de productie (reële economie) en monetaire kant van de economie.</w:t>
      </w:r>
    </w:p>
    <w:p w14:paraId="2FF63ED9" w14:textId="1F9E0932" w:rsidR="001D223D" w:rsidRDefault="001D223D" w:rsidP="00FF3282">
      <w:pPr>
        <w:rPr>
          <w:sz w:val="24"/>
        </w:rPr>
      </w:pPr>
      <w:r>
        <w:rPr>
          <w:sz w:val="24"/>
        </w:rPr>
        <w:t>Als M stijgt:</w:t>
      </w:r>
    </w:p>
    <w:p w14:paraId="0CD37392" w14:textId="15BF7991" w:rsidR="001D223D" w:rsidRDefault="001D223D" w:rsidP="001D223D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Korte termijn: prijsrigiditeit, dus productie stijgt</w:t>
      </w:r>
    </w:p>
    <w:p w14:paraId="6DA75C8E" w14:textId="2C80DC33" w:rsidR="001D223D" w:rsidRDefault="001D223D" w:rsidP="001D223D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Lange termijn: economie terug op </w:t>
      </w:r>
      <w:proofErr w:type="spellStart"/>
      <w:r>
        <w:rPr>
          <w:sz w:val="24"/>
        </w:rPr>
        <w:t>langetermijngroeipad</w:t>
      </w:r>
      <w:proofErr w:type="spellEnd"/>
      <w:r>
        <w:rPr>
          <w:sz w:val="24"/>
        </w:rPr>
        <w:t xml:space="preserve"> (productie daalt weer), prijzen gestegen (M heeft geen invloed op natuurlijke productieomvang)</w:t>
      </w:r>
    </w:p>
    <w:p w14:paraId="668C5C5A" w14:textId="099E5815" w:rsidR="001D223D" w:rsidRDefault="001D223D" w:rsidP="001D223D">
      <w:pPr>
        <w:rPr>
          <w:sz w:val="24"/>
        </w:rPr>
      </w:pPr>
      <w:r>
        <w:rPr>
          <w:sz w:val="24"/>
        </w:rPr>
        <w:t>neutraliteit van geld: vergroting M leidt op lange termijn alleen tot inflatie (geen invloed op nationaal inkomen)</w:t>
      </w:r>
    </w:p>
    <w:p w14:paraId="1AA5DDFF" w14:textId="6F76260E" w:rsidR="001D223D" w:rsidRDefault="001D223D" w:rsidP="001D223D">
      <w:pPr>
        <w:rPr>
          <w:b/>
          <w:sz w:val="24"/>
        </w:rPr>
      </w:pPr>
      <w:r w:rsidRPr="001D223D">
        <w:rPr>
          <w:b/>
          <w:sz w:val="24"/>
        </w:rPr>
        <w:t>Rentebeleid</w:t>
      </w:r>
    </w:p>
    <w:p w14:paraId="229EE9C3" w14:textId="401CD956" w:rsidR="001D223D" w:rsidRDefault="001D223D" w:rsidP="001D223D">
      <w:pPr>
        <w:rPr>
          <w:sz w:val="24"/>
        </w:rPr>
      </w:pPr>
      <w:proofErr w:type="spellStart"/>
      <w:r>
        <w:rPr>
          <w:sz w:val="24"/>
        </w:rPr>
        <w:t>reporente</w:t>
      </w:r>
      <w:proofErr w:type="spellEnd"/>
      <w:r>
        <w:rPr>
          <w:sz w:val="24"/>
        </w:rPr>
        <w:t>: rente waartegen handelsbanken geld lenen bij de ECB</w:t>
      </w:r>
    </w:p>
    <w:p w14:paraId="2DCA8259" w14:textId="3E8229A4" w:rsidR="001D223D" w:rsidRDefault="001D223D" w:rsidP="001D223D">
      <w:pPr>
        <w:rPr>
          <w:sz w:val="24"/>
        </w:rPr>
      </w:pPr>
      <w:r w:rsidRPr="001D223D">
        <w:rPr>
          <w:sz w:val="24"/>
        </w:rPr>
        <w:t xml:space="preserve">zero </w:t>
      </w:r>
      <w:proofErr w:type="spellStart"/>
      <w:r w:rsidRPr="001D223D">
        <w:rPr>
          <w:sz w:val="24"/>
        </w:rPr>
        <w:t>lower</w:t>
      </w:r>
      <w:proofErr w:type="spellEnd"/>
      <w:r w:rsidRPr="001D223D">
        <w:rPr>
          <w:sz w:val="24"/>
        </w:rPr>
        <w:t xml:space="preserve"> </w:t>
      </w:r>
      <w:proofErr w:type="spellStart"/>
      <w:r w:rsidRPr="001D223D">
        <w:rPr>
          <w:sz w:val="24"/>
        </w:rPr>
        <w:t>bound</w:t>
      </w:r>
      <w:proofErr w:type="spellEnd"/>
      <w:r w:rsidRPr="001D223D">
        <w:rPr>
          <w:sz w:val="24"/>
        </w:rPr>
        <w:t>: ondergrens nominale rente vanwege bestaa</w:t>
      </w:r>
      <w:r>
        <w:rPr>
          <w:sz w:val="24"/>
        </w:rPr>
        <w:t>n chartaal geld</w:t>
      </w:r>
    </w:p>
    <w:p w14:paraId="22844515" w14:textId="5F427AB0" w:rsidR="001D223D" w:rsidRDefault="001D223D" w:rsidP="001D223D">
      <w:pPr>
        <w:rPr>
          <w:sz w:val="24"/>
        </w:rPr>
      </w:pPr>
      <w:r>
        <w:rPr>
          <w:sz w:val="24"/>
        </w:rPr>
        <w:t>Erg lage rente leidt tot liquiditeitsval: situatie waarbij vergroting M geen effect meer heeft.</w:t>
      </w:r>
    </w:p>
    <w:p w14:paraId="14699838" w14:textId="79028FD7" w:rsidR="003B03DE" w:rsidRDefault="003B03DE" w:rsidP="001D223D">
      <w:pPr>
        <w:rPr>
          <w:sz w:val="24"/>
        </w:rPr>
      </w:pPr>
      <w:r>
        <w:rPr>
          <w:sz w:val="24"/>
        </w:rPr>
        <w:t xml:space="preserve">Er is dan geen verschil meer tussen obligaties en chartaal geld, dus deze zijn onderling inwisselbaar. Het opkopen van staatsobligaties leidt dan niet meer tot een vergroting van de maatschappelijke geldhoeveelheid. </w:t>
      </w:r>
    </w:p>
    <w:p w14:paraId="72551713" w14:textId="0ECFC2C8" w:rsidR="003B03DE" w:rsidRPr="001D223D" w:rsidRDefault="003B03DE" w:rsidP="001D223D">
      <w:pPr>
        <w:rPr>
          <w:sz w:val="24"/>
        </w:rPr>
      </w:pPr>
      <w:r>
        <w:rPr>
          <w:sz w:val="24"/>
        </w:rPr>
        <w:t xml:space="preserve">Mocht M wel stijgen, zal dit geld niet worden besteed, maar </w:t>
      </w:r>
      <w:r w:rsidR="007A2538">
        <w:rPr>
          <w:sz w:val="24"/>
        </w:rPr>
        <w:t>inactief gehouden</w:t>
      </w:r>
      <w:r>
        <w:rPr>
          <w:sz w:val="24"/>
        </w:rPr>
        <w:t>. V daalt dan, waardoor P x T gelijk blijft en de economie dus niet wordt gestimuleerd.</w:t>
      </w:r>
    </w:p>
    <w:p w14:paraId="74EA5903" w14:textId="77777777" w:rsidR="00FF3282" w:rsidRPr="001D223D" w:rsidRDefault="00FF3282" w:rsidP="00FF3282">
      <w:pPr>
        <w:rPr>
          <w:sz w:val="24"/>
        </w:rPr>
      </w:pPr>
    </w:p>
    <w:p w14:paraId="762EC75D" w14:textId="77777777" w:rsidR="00B11D51" w:rsidRPr="001D223D" w:rsidRDefault="00B11D51" w:rsidP="00B11D51">
      <w:pPr>
        <w:rPr>
          <w:sz w:val="24"/>
        </w:rPr>
      </w:pPr>
    </w:p>
    <w:sectPr w:rsidR="00B11D51" w:rsidRPr="001D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5B5"/>
    <w:multiLevelType w:val="hybridMultilevel"/>
    <w:tmpl w:val="294A6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AAC"/>
    <w:multiLevelType w:val="hybridMultilevel"/>
    <w:tmpl w:val="D514D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3FC"/>
    <w:multiLevelType w:val="hybridMultilevel"/>
    <w:tmpl w:val="B554D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27DD"/>
    <w:multiLevelType w:val="hybridMultilevel"/>
    <w:tmpl w:val="0A246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51588"/>
    <w:multiLevelType w:val="hybridMultilevel"/>
    <w:tmpl w:val="79E24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C397B"/>
    <w:multiLevelType w:val="hybridMultilevel"/>
    <w:tmpl w:val="B436F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C145A"/>
    <w:multiLevelType w:val="hybridMultilevel"/>
    <w:tmpl w:val="E9724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10FCF"/>
    <w:multiLevelType w:val="hybridMultilevel"/>
    <w:tmpl w:val="38243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450B8"/>
    <w:multiLevelType w:val="hybridMultilevel"/>
    <w:tmpl w:val="CE228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A778B"/>
    <w:multiLevelType w:val="hybridMultilevel"/>
    <w:tmpl w:val="A4AAB4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A09B8"/>
    <w:multiLevelType w:val="hybridMultilevel"/>
    <w:tmpl w:val="FDEE3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ED"/>
    <w:rsid w:val="001D223D"/>
    <w:rsid w:val="00360B26"/>
    <w:rsid w:val="003B03DE"/>
    <w:rsid w:val="00552C4A"/>
    <w:rsid w:val="007A2538"/>
    <w:rsid w:val="00AE6325"/>
    <w:rsid w:val="00B11D51"/>
    <w:rsid w:val="00DB2FF9"/>
    <w:rsid w:val="00E766ED"/>
    <w:rsid w:val="00E93548"/>
    <w:rsid w:val="00F54954"/>
    <w:rsid w:val="00FC4BBE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BEB1"/>
  <w15:chartTrackingRefBased/>
  <w15:docId w15:val="{548A10BD-0E07-4C19-BB1A-561F9B4C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4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4B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C4B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Vlastuin</dc:creator>
  <cp:keywords/>
  <dc:description/>
  <cp:lastModifiedBy>Stefan Vlastuin</cp:lastModifiedBy>
  <cp:revision>6</cp:revision>
  <dcterms:created xsi:type="dcterms:W3CDTF">2019-03-04T16:12:00Z</dcterms:created>
  <dcterms:modified xsi:type="dcterms:W3CDTF">2019-03-15T09:15:00Z</dcterms:modified>
</cp:coreProperties>
</file>